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BB47F" w14:textId="77777777" w:rsidR="00AA082A" w:rsidRPr="004E5848" w:rsidRDefault="00AA082A" w:rsidP="00AA082A">
      <w:pPr>
        <w:jc w:val="center"/>
        <w:rPr>
          <w:rFonts w:eastAsia="Times New Roman" w:cs="Times New Roman"/>
          <w:b/>
          <w:bCs/>
          <w:color w:val="201F1E"/>
          <w:szCs w:val="24"/>
        </w:rPr>
      </w:pPr>
      <w:r w:rsidRPr="004E5848">
        <w:rPr>
          <w:rFonts w:eastAsia="Times New Roman" w:cs="Times New Roman"/>
          <w:b/>
          <w:bCs/>
          <w:color w:val="201F1E"/>
          <w:szCs w:val="24"/>
        </w:rPr>
        <w:t>The History of the Northern Corridor Highway</w:t>
      </w:r>
    </w:p>
    <w:p w14:paraId="28283F89" w14:textId="77777777" w:rsidR="00AA082A" w:rsidRPr="004E5848" w:rsidRDefault="00AA082A" w:rsidP="00AA082A">
      <w:pPr>
        <w:shd w:val="clear" w:color="auto" w:fill="FFFFFF"/>
        <w:textAlignment w:val="baseline"/>
        <w:rPr>
          <w:rFonts w:eastAsia="Times New Roman" w:cs="Times New Roman"/>
          <w:color w:val="201F1E"/>
          <w:szCs w:val="24"/>
        </w:rPr>
      </w:pPr>
    </w:p>
    <w:p w14:paraId="2B1A249E" w14:textId="77777777" w:rsidR="00AA082A" w:rsidRDefault="00AA082A" w:rsidP="00AA082A">
      <w:pPr>
        <w:shd w:val="clear" w:color="auto" w:fill="FFFFFF"/>
        <w:textAlignment w:val="baseline"/>
        <w:rPr>
          <w:rFonts w:eastAsia="Times New Roman" w:cs="Times New Roman"/>
          <w:color w:val="201F1E"/>
          <w:szCs w:val="24"/>
        </w:rPr>
      </w:pPr>
      <w:r>
        <w:rPr>
          <w:rFonts w:eastAsia="Times New Roman" w:cs="Times New Roman"/>
          <w:color w:val="201F1E"/>
          <w:szCs w:val="24"/>
        </w:rPr>
        <w:t>1970-1990</w:t>
      </w:r>
    </w:p>
    <w:p w14:paraId="24FB7D91" w14:textId="77777777" w:rsidR="00AA082A" w:rsidRDefault="00AA082A" w:rsidP="00AA082A">
      <w:pPr>
        <w:shd w:val="clear" w:color="auto" w:fill="FFFFFF"/>
        <w:ind w:left="720"/>
        <w:textAlignment w:val="baseline"/>
        <w:rPr>
          <w:rFonts w:eastAsia="Times New Roman" w:cs="Times New Roman"/>
          <w:color w:val="201F1E"/>
          <w:szCs w:val="24"/>
        </w:rPr>
      </w:pPr>
      <w:r>
        <w:rPr>
          <w:rFonts w:eastAsia="Times New Roman" w:cs="Times New Roman"/>
          <w:color w:val="201F1E"/>
          <w:szCs w:val="24"/>
        </w:rPr>
        <w:t>The “ring-road” concept, and its Northern Corridor segment, starts taking shape in the midst of rapid population growth, supporting “sprawl” development and use of “wasted” public land.</w:t>
      </w:r>
    </w:p>
    <w:p w14:paraId="5F0CF80B" w14:textId="77777777" w:rsidR="00AA082A" w:rsidRDefault="00AA082A" w:rsidP="00AA082A">
      <w:pPr>
        <w:shd w:val="clear" w:color="auto" w:fill="FFFFFF"/>
        <w:ind w:left="720"/>
        <w:textAlignment w:val="baseline"/>
        <w:rPr>
          <w:rFonts w:eastAsia="Times New Roman" w:cs="Times New Roman"/>
          <w:color w:val="201F1E"/>
          <w:szCs w:val="24"/>
        </w:rPr>
      </w:pPr>
    </w:p>
    <w:p w14:paraId="0F94AC12" w14:textId="77777777" w:rsidR="00AA082A" w:rsidRPr="004E5848" w:rsidRDefault="00AA082A" w:rsidP="00AA082A">
      <w:pPr>
        <w:shd w:val="clear" w:color="auto" w:fill="FFFFFF"/>
        <w:textAlignment w:val="baseline"/>
        <w:rPr>
          <w:rFonts w:eastAsia="Times New Roman" w:cs="Times New Roman"/>
          <w:color w:val="201F1E"/>
          <w:szCs w:val="24"/>
        </w:rPr>
      </w:pPr>
      <w:r w:rsidRPr="004E5848">
        <w:rPr>
          <w:rFonts w:eastAsia="Times New Roman" w:cs="Times New Roman"/>
          <w:color w:val="201F1E"/>
          <w:szCs w:val="24"/>
        </w:rPr>
        <w:t>1995 HCP</w:t>
      </w:r>
    </w:p>
    <w:p w14:paraId="5599DB7F" w14:textId="77777777" w:rsidR="00AA082A" w:rsidRPr="004E5848" w:rsidRDefault="00AA082A" w:rsidP="00AA082A">
      <w:pPr>
        <w:shd w:val="clear" w:color="auto" w:fill="FFFFFF"/>
        <w:ind w:left="720"/>
        <w:textAlignment w:val="baseline"/>
        <w:rPr>
          <w:rFonts w:eastAsia="Times New Roman" w:cs="Times New Roman"/>
          <w:color w:val="201F1E"/>
          <w:szCs w:val="24"/>
        </w:rPr>
      </w:pPr>
      <w:r w:rsidRPr="004E5848">
        <w:rPr>
          <w:rFonts w:eastAsia="Times New Roman" w:cs="Times New Roman"/>
          <w:color w:val="201F1E"/>
          <w:szCs w:val="24"/>
        </w:rPr>
        <w:t xml:space="preserve">Washington County is denied a provision for the highway in the Habitat Conservation Plan, in which the county agreed to establish the Red Cliffs Desert Reserve as a protected area for the “listed” </w:t>
      </w:r>
      <w:proofErr w:type="gramStart"/>
      <w:r w:rsidRPr="004E5848">
        <w:rPr>
          <w:rFonts w:eastAsia="Times New Roman" w:cs="Times New Roman"/>
          <w:color w:val="201F1E"/>
          <w:szCs w:val="24"/>
        </w:rPr>
        <w:t>Mojave desert</w:t>
      </w:r>
      <w:proofErr w:type="gramEnd"/>
      <w:r w:rsidRPr="004E5848">
        <w:rPr>
          <w:rFonts w:eastAsia="Times New Roman" w:cs="Times New Roman"/>
          <w:color w:val="201F1E"/>
          <w:szCs w:val="24"/>
        </w:rPr>
        <w:t xml:space="preserve"> tortoise in the BLM-managed public lands north of St George, in exchange for enabling development throughout the county without further environmental impact studies, on the basis that the highway would be inconsistent with the habitat protection.</w:t>
      </w:r>
    </w:p>
    <w:p w14:paraId="0A867061" w14:textId="77777777" w:rsidR="00AA082A" w:rsidRPr="004E5848" w:rsidRDefault="00AA082A" w:rsidP="00AA082A">
      <w:pPr>
        <w:shd w:val="clear" w:color="auto" w:fill="FFFFFF"/>
        <w:textAlignment w:val="baseline"/>
        <w:rPr>
          <w:rFonts w:eastAsia="Times New Roman" w:cs="Times New Roman"/>
          <w:color w:val="201F1E"/>
          <w:szCs w:val="24"/>
        </w:rPr>
      </w:pPr>
    </w:p>
    <w:p w14:paraId="6291F986" w14:textId="77777777" w:rsidR="00AA082A" w:rsidRPr="004E5848" w:rsidRDefault="00AA082A" w:rsidP="00AA082A">
      <w:pPr>
        <w:shd w:val="clear" w:color="auto" w:fill="FFFFFF"/>
        <w:textAlignment w:val="baseline"/>
        <w:rPr>
          <w:rFonts w:eastAsia="Times New Roman" w:cs="Times New Roman"/>
          <w:color w:val="201F1E"/>
          <w:szCs w:val="24"/>
        </w:rPr>
      </w:pPr>
      <w:r w:rsidRPr="004E5848">
        <w:rPr>
          <w:rFonts w:eastAsia="Times New Roman" w:cs="Times New Roman"/>
          <w:color w:val="201F1E"/>
          <w:szCs w:val="24"/>
        </w:rPr>
        <w:t>2006-2009 Public Lands Bills in Congress</w:t>
      </w:r>
    </w:p>
    <w:p w14:paraId="151E840A" w14:textId="77777777" w:rsidR="00AA082A" w:rsidRPr="004E5848" w:rsidRDefault="00AA082A" w:rsidP="00AA082A">
      <w:pPr>
        <w:shd w:val="clear" w:color="auto" w:fill="FFFFFF"/>
        <w:ind w:left="720"/>
        <w:textAlignment w:val="baseline"/>
        <w:rPr>
          <w:rFonts w:eastAsia="Times New Roman" w:cs="Times New Roman"/>
          <w:color w:val="201F1E"/>
          <w:szCs w:val="24"/>
        </w:rPr>
      </w:pPr>
      <w:r w:rsidRPr="004E5848">
        <w:rPr>
          <w:rFonts w:eastAsia="Times New Roman" w:cs="Times New Roman"/>
          <w:color w:val="201F1E"/>
          <w:szCs w:val="24"/>
        </w:rPr>
        <w:t xml:space="preserve">Washington County is denied a provision for the highway in the </w:t>
      </w:r>
      <w:hyperlink r:id="rId5" w:history="1">
        <w:r w:rsidRPr="004E5848">
          <w:rPr>
            <w:rStyle w:val="Hyperlink"/>
            <w:rFonts w:eastAsia="Times New Roman" w:cs="Times New Roman"/>
            <w:szCs w:val="24"/>
          </w:rPr>
          <w:t>2006 Washington County Growth and Conservation Act</w:t>
        </w:r>
      </w:hyperlink>
      <w:r w:rsidRPr="004E5848">
        <w:rPr>
          <w:rFonts w:eastAsia="Times New Roman" w:cs="Times New Roman"/>
          <w:color w:val="201F1E"/>
          <w:szCs w:val="24"/>
        </w:rPr>
        <w:t xml:space="preserve">.  Negotiations results in section 1974 of the </w:t>
      </w:r>
      <w:hyperlink r:id="rId6" w:history="1">
        <w:r w:rsidRPr="004E5848">
          <w:rPr>
            <w:rStyle w:val="Hyperlink"/>
            <w:rFonts w:eastAsia="Times New Roman" w:cs="Times New Roman"/>
            <w:szCs w:val="24"/>
          </w:rPr>
          <w:t>2009 Omnibus Public Lands Management Act</w:t>
        </w:r>
      </w:hyperlink>
      <w:r w:rsidRPr="004E5848">
        <w:rPr>
          <w:rFonts w:eastAsia="Times New Roman" w:cs="Times New Roman"/>
          <w:color w:val="201F1E"/>
          <w:szCs w:val="24"/>
        </w:rPr>
        <w:t>, which established the Red Cliffs National Conservation Area as permanent protection overlaying the Red Cliffs Desert Reserve.  The act provided that a traffic solution somewhere in the county be explored, and required that any development in the NCA be for the purposes of conserving the habitat.</w:t>
      </w:r>
    </w:p>
    <w:p w14:paraId="4EBC3EDC" w14:textId="77777777" w:rsidR="00AA082A" w:rsidRPr="004E5848" w:rsidRDefault="00AA082A" w:rsidP="00AA082A">
      <w:pPr>
        <w:shd w:val="clear" w:color="auto" w:fill="FFFFFF"/>
        <w:ind w:left="720"/>
        <w:textAlignment w:val="baseline"/>
        <w:rPr>
          <w:rFonts w:eastAsia="Times New Roman" w:cs="Times New Roman"/>
          <w:color w:val="201F1E"/>
          <w:szCs w:val="24"/>
        </w:rPr>
      </w:pPr>
    </w:p>
    <w:p w14:paraId="26C465D9" w14:textId="77777777" w:rsidR="00AA082A" w:rsidRPr="004E5848" w:rsidRDefault="00AA082A" w:rsidP="00AA082A">
      <w:pPr>
        <w:shd w:val="clear" w:color="auto" w:fill="FFFFFF"/>
        <w:textAlignment w:val="baseline"/>
        <w:rPr>
          <w:rFonts w:eastAsia="Times New Roman" w:cs="Times New Roman"/>
          <w:color w:val="201F1E"/>
          <w:szCs w:val="24"/>
        </w:rPr>
      </w:pPr>
      <w:r w:rsidRPr="004E5848">
        <w:rPr>
          <w:rFonts w:eastAsia="Times New Roman" w:cs="Times New Roman"/>
          <w:color w:val="201F1E"/>
          <w:szCs w:val="24"/>
        </w:rPr>
        <w:t>2016 Red Cliffs National Conservation Area Resource Management Plan (RMP)</w:t>
      </w:r>
    </w:p>
    <w:p w14:paraId="57840D33" w14:textId="77777777" w:rsidR="00AA082A" w:rsidRPr="004E5848" w:rsidRDefault="00AA082A" w:rsidP="00AA082A">
      <w:pPr>
        <w:shd w:val="clear" w:color="auto" w:fill="FFFFFF"/>
        <w:ind w:left="720"/>
        <w:textAlignment w:val="baseline"/>
        <w:rPr>
          <w:rFonts w:eastAsia="Times New Roman" w:cs="Times New Roman"/>
          <w:color w:val="201F1E"/>
          <w:szCs w:val="24"/>
        </w:rPr>
      </w:pPr>
      <w:r w:rsidRPr="004E5848">
        <w:rPr>
          <w:rFonts w:eastAsia="Times New Roman" w:cs="Times New Roman"/>
          <w:color w:val="201F1E"/>
          <w:szCs w:val="24"/>
        </w:rPr>
        <w:t>Washington County is denied a provision in the RMP to allow the highway on the basis that it would be inconsistent with the habitat protection.  The county filed an appeal of that decision with the Interior Board of Lands Appeals (a court within the Department of Interior).  The appeal was denied on the basis that the highway was not permitted under law.</w:t>
      </w:r>
    </w:p>
    <w:p w14:paraId="7FFB2F6C" w14:textId="77777777" w:rsidR="00AA082A" w:rsidRPr="004E5848" w:rsidRDefault="00AA082A" w:rsidP="00AA082A">
      <w:pPr>
        <w:shd w:val="clear" w:color="auto" w:fill="FFFFFF"/>
        <w:ind w:left="720"/>
        <w:textAlignment w:val="baseline"/>
        <w:rPr>
          <w:rFonts w:eastAsia="Times New Roman" w:cs="Times New Roman"/>
          <w:color w:val="201F1E"/>
          <w:szCs w:val="24"/>
        </w:rPr>
      </w:pPr>
    </w:p>
    <w:p w14:paraId="62573087" w14:textId="77777777" w:rsidR="00AA082A" w:rsidRPr="004E5848" w:rsidRDefault="00AA082A" w:rsidP="00AA082A">
      <w:pPr>
        <w:shd w:val="clear" w:color="auto" w:fill="FFFFFF"/>
        <w:textAlignment w:val="baseline"/>
        <w:rPr>
          <w:rFonts w:eastAsia="Times New Roman" w:cs="Times New Roman"/>
          <w:color w:val="201F1E"/>
          <w:szCs w:val="24"/>
        </w:rPr>
      </w:pPr>
      <w:r w:rsidRPr="004E5848">
        <w:rPr>
          <w:rFonts w:eastAsia="Times New Roman" w:cs="Times New Roman"/>
          <w:color w:val="201F1E"/>
          <w:szCs w:val="24"/>
        </w:rPr>
        <w:t>2017-2020 Various Acts of Congress (</w:t>
      </w:r>
      <w:hyperlink r:id="rId7" w:history="1">
        <w:r w:rsidRPr="004E5848">
          <w:rPr>
            <w:rStyle w:val="Hyperlink"/>
            <w:rFonts w:eastAsia="Times New Roman" w:cs="Times New Roman"/>
            <w:szCs w:val="24"/>
          </w:rPr>
          <w:t>HR 7815</w:t>
        </w:r>
      </w:hyperlink>
      <w:r w:rsidRPr="004E5848">
        <w:rPr>
          <w:rFonts w:eastAsia="Times New Roman" w:cs="Times New Roman"/>
          <w:color w:val="201F1E"/>
          <w:szCs w:val="24"/>
        </w:rPr>
        <w:t xml:space="preserve">, </w:t>
      </w:r>
      <w:hyperlink r:id="rId8" w:history="1">
        <w:r w:rsidRPr="004E5848">
          <w:rPr>
            <w:rStyle w:val="Hyperlink"/>
            <w:rFonts w:eastAsia="Times New Roman" w:cs="Times New Roman"/>
            <w:szCs w:val="24"/>
          </w:rPr>
          <w:t>S 3297</w:t>
        </w:r>
      </w:hyperlink>
      <w:r w:rsidRPr="004E5848">
        <w:rPr>
          <w:rFonts w:eastAsia="Times New Roman" w:cs="Times New Roman"/>
          <w:color w:val="201F1E"/>
          <w:szCs w:val="24"/>
        </w:rPr>
        <w:t xml:space="preserve">, </w:t>
      </w:r>
      <w:hyperlink r:id="rId9" w:history="1">
        <w:r w:rsidRPr="004E5848">
          <w:rPr>
            <w:rStyle w:val="Hyperlink"/>
            <w:rFonts w:eastAsia="Times New Roman" w:cs="Times New Roman"/>
            <w:szCs w:val="24"/>
          </w:rPr>
          <w:t>HR 2423</w:t>
        </w:r>
      </w:hyperlink>
      <w:r w:rsidRPr="004E5848">
        <w:rPr>
          <w:rFonts w:eastAsia="Times New Roman" w:cs="Times New Roman"/>
          <w:color w:val="201F1E"/>
          <w:szCs w:val="24"/>
        </w:rPr>
        <w:t>)</w:t>
      </w:r>
    </w:p>
    <w:p w14:paraId="45ED9345" w14:textId="77777777" w:rsidR="00AA082A" w:rsidRPr="004E5848" w:rsidRDefault="00AA082A" w:rsidP="00AA082A">
      <w:pPr>
        <w:shd w:val="clear" w:color="auto" w:fill="FFFFFF"/>
        <w:ind w:left="720"/>
        <w:textAlignment w:val="baseline"/>
        <w:rPr>
          <w:rFonts w:eastAsia="Times New Roman" w:cs="Times New Roman"/>
          <w:color w:val="201F1E"/>
          <w:szCs w:val="24"/>
        </w:rPr>
      </w:pPr>
      <w:r w:rsidRPr="004E5848">
        <w:rPr>
          <w:rFonts w:eastAsia="Times New Roman" w:cs="Times New Roman"/>
          <w:color w:val="201F1E"/>
          <w:szCs w:val="24"/>
        </w:rPr>
        <w:t>Utah Representative Chris Stewart and Senator Mike Lee introduced bills approving the highway.  After testimony and discussions with CSU and its Coalition, none made it out of committee, as they were deemed too controversial and contrary to other existing laws.</w:t>
      </w:r>
    </w:p>
    <w:p w14:paraId="46378AF1" w14:textId="77777777" w:rsidR="00AA082A" w:rsidRPr="004E5848" w:rsidRDefault="00AA082A" w:rsidP="00AA082A">
      <w:pPr>
        <w:shd w:val="clear" w:color="auto" w:fill="FFFFFF"/>
        <w:ind w:left="720"/>
        <w:textAlignment w:val="baseline"/>
        <w:rPr>
          <w:rFonts w:eastAsia="Times New Roman" w:cs="Times New Roman"/>
          <w:color w:val="201F1E"/>
          <w:szCs w:val="24"/>
        </w:rPr>
      </w:pPr>
    </w:p>
    <w:p w14:paraId="5BDA2753" w14:textId="77777777" w:rsidR="00AA082A" w:rsidRPr="004E5848" w:rsidRDefault="00AA082A" w:rsidP="00AA082A">
      <w:pPr>
        <w:shd w:val="clear" w:color="auto" w:fill="FFFFFF"/>
        <w:textAlignment w:val="baseline"/>
        <w:rPr>
          <w:rFonts w:eastAsia="Times New Roman" w:cs="Times New Roman"/>
          <w:color w:val="201F1E"/>
          <w:szCs w:val="24"/>
        </w:rPr>
      </w:pPr>
      <w:r w:rsidRPr="004E5848">
        <w:rPr>
          <w:rFonts w:eastAsia="Times New Roman" w:cs="Times New Roman"/>
          <w:color w:val="201F1E"/>
          <w:szCs w:val="24"/>
        </w:rPr>
        <w:t>2019-2021 Trump Department of Interior Action</w:t>
      </w:r>
    </w:p>
    <w:p w14:paraId="5B238AF2" w14:textId="77777777" w:rsidR="00AA082A" w:rsidRPr="004E5848" w:rsidRDefault="00AA082A" w:rsidP="00AA082A">
      <w:pPr>
        <w:shd w:val="clear" w:color="auto" w:fill="FFFFFF"/>
        <w:ind w:left="720"/>
        <w:textAlignment w:val="baseline"/>
        <w:rPr>
          <w:rFonts w:eastAsia="Times New Roman" w:cs="Times New Roman"/>
          <w:color w:val="201F1E"/>
          <w:szCs w:val="24"/>
        </w:rPr>
      </w:pPr>
      <w:r w:rsidRPr="004E5848">
        <w:rPr>
          <w:rFonts w:eastAsia="Times New Roman" w:cs="Times New Roman"/>
          <w:color w:val="201F1E"/>
          <w:szCs w:val="24"/>
        </w:rPr>
        <w:t xml:space="preserve">The county initiated the National Environmental Policy Act process through the Department of Interior (DOI) to determine if a highway was consistent with existing laws and purposes of the Red Cliffs NCA.  On January 15, 2021, the decision to approve the highway was recorded in the </w:t>
      </w:r>
      <w:hyperlink r:id="rId10" w:history="1">
        <w:r w:rsidRPr="004E5848">
          <w:rPr>
            <w:rStyle w:val="Hyperlink"/>
            <w:rFonts w:eastAsia="Times New Roman" w:cs="Times New Roman"/>
            <w:szCs w:val="24"/>
          </w:rPr>
          <w:t>Federal Registry</w:t>
        </w:r>
      </w:hyperlink>
      <w:r w:rsidRPr="004E5848">
        <w:rPr>
          <w:rFonts w:eastAsia="Times New Roman" w:cs="Times New Roman"/>
          <w:color w:val="201F1E"/>
          <w:szCs w:val="24"/>
        </w:rPr>
        <w:t xml:space="preserve">. </w:t>
      </w:r>
    </w:p>
    <w:p w14:paraId="7D96400D" w14:textId="77777777" w:rsidR="00AA082A" w:rsidRPr="004E5848" w:rsidRDefault="00AA082A" w:rsidP="00AA082A">
      <w:pPr>
        <w:shd w:val="clear" w:color="auto" w:fill="FFFFFF"/>
        <w:ind w:left="720"/>
        <w:textAlignment w:val="baseline"/>
        <w:rPr>
          <w:rFonts w:eastAsia="Times New Roman" w:cs="Times New Roman"/>
          <w:color w:val="201F1E"/>
          <w:szCs w:val="24"/>
        </w:rPr>
      </w:pPr>
    </w:p>
    <w:p w14:paraId="08242046" w14:textId="77777777" w:rsidR="00AA082A" w:rsidRPr="004E5848" w:rsidRDefault="00AA082A" w:rsidP="00AA082A">
      <w:pPr>
        <w:shd w:val="clear" w:color="auto" w:fill="FFFFFF"/>
        <w:textAlignment w:val="baseline"/>
        <w:rPr>
          <w:rFonts w:eastAsia="Times New Roman" w:cs="Times New Roman"/>
          <w:color w:val="201F1E"/>
          <w:szCs w:val="24"/>
        </w:rPr>
      </w:pPr>
      <w:r w:rsidRPr="004E5848">
        <w:rPr>
          <w:rFonts w:eastAsia="Times New Roman" w:cs="Times New Roman"/>
          <w:color w:val="201F1E"/>
          <w:szCs w:val="24"/>
        </w:rPr>
        <w:t>2021 Reversal of the DOI Decision</w:t>
      </w:r>
    </w:p>
    <w:p w14:paraId="6CF6C01E" w14:textId="77777777" w:rsidR="00AA082A" w:rsidRPr="004E5848" w:rsidRDefault="00AA082A" w:rsidP="00AA082A">
      <w:pPr>
        <w:shd w:val="clear" w:color="auto" w:fill="FFFFFF"/>
        <w:ind w:left="720"/>
        <w:textAlignment w:val="baseline"/>
        <w:rPr>
          <w:rFonts w:eastAsia="Times New Roman" w:cs="Times New Roman"/>
          <w:color w:val="201F1E"/>
          <w:szCs w:val="24"/>
        </w:rPr>
      </w:pPr>
      <w:r w:rsidRPr="004E5848">
        <w:rPr>
          <w:rFonts w:eastAsia="Times New Roman" w:cs="Times New Roman"/>
          <w:color w:val="201F1E"/>
          <w:szCs w:val="24"/>
        </w:rPr>
        <w:t>CSU and its Red Cliffs Conservation Coalition of regional and national conservation organizations exercise remedies to the decision in the Biden Administration, the 117</w:t>
      </w:r>
      <w:r w:rsidRPr="004E5848">
        <w:rPr>
          <w:rFonts w:eastAsia="Times New Roman" w:cs="Times New Roman"/>
          <w:color w:val="201F1E"/>
          <w:szCs w:val="24"/>
          <w:vertAlign w:val="superscript"/>
        </w:rPr>
        <w:t>th</w:t>
      </w:r>
      <w:r w:rsidRPr="004E5848">
        <w:rPr>
          <w:rFonts w:eastAsia="Times New Roman" w:cs="Times New Roman"/>
          <w:color w:val="201F1E"/>
          <w:szCs w:val="24"/>
        </w:rPr>
        <w:t xml:space="preserve"> Congress and federal court and the basis that the Environmental Impact Statement conclusions were not justified and that several bedrock environmental laws were broken by the DOI in approving the highway.</w:t>
      </w:r>
    </w:p>
    <w:p w14:paraId="23308280" w14:textId="77777777" w:rsidR="00482544" w:rsidRDefault="00482544"/>
    <w:sectPr w:rsidR="00482544" w:rsidSect="00AA082A">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5318CC"/>
    <w:multiLevelType w:val="multilevel"/>
    <w:tmpl w:val="F45297A6"/>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0B58C0"/>
    <w:multiLevelType w:val="multilevel"/>
    <w:tmpl w:val="7DFE0946"/>
    <w:lvl w:ilvl="0">
      <w:start w:val="1"/>
      <w:numFmt w:val="decimal"/>
      <w:pStyle w:val="Heading1"/>
      <w:lvlText w:val="%1"/>
      <w:lvlJc w:val="left"/>
      <w:pPr>
        <w:ind w:left="432" w:hanging="432"/>
      </w:pPr>
    </w:lvl>
    <w:lvl w:ilvl="1">
      <w:start w:val="1"/>
      <w:numFmt w:val="decimal"/>
      <w:pStyle w:val="Heading2"/>
      <w:lvlText w:val="%1.%2"/>
      <w:lvlJc w:val="left"/>
      <w:pPr>
        <w:ind w:left="309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82A"/>
    <w:rsid w:val="00154C35"/>
    <w:rsid w:val="00266C6E"/>
    <w:rsid w:val="003528E9"/>
    <w:rsid w:val="004413E1"/>
    <w:rsid w:val="00475874"/>
    <w:rsid w:val="00482544"/>
    <w:rsid w:val="005B26B8"/>
    <w:rsid w:val="00636AEE"/>
    <w:rsid w:val="006F2BAE"/>
    <w:rsid w:val="00747FC5"/>
    <w:rsid w:val="007F707C"/>
    <w:rsid w:val="00884550"/>
    <w:rsid w:val="009D09E2"/>
    <w:rsid w:val="00A21379"/>
    <w:rsid w:val="00A348A4"/>
    <w:rsid w:val="00AA082A"/>
    <w:rsid w:val="00B111A1"/>
    <w:rsid w:val="00B27700"/>
    <w:rsid w:val="00BB5AFA"/>
    <w:rsid w:val="00D06C01"/>
    <w:rsid w:val="00D9109B"/>
    <w:rsid w:val="00E0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6966"/>
  <w15:chartTrackingRefBased/>
  <w15:docId w15:val="{DD0EB53F-8242-4220-8AF0-735AFFF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82A"/>
    <w:rPr>
      <w:rFonts w:ascii="Times New Roman" w:hAnsi="Times New Roman" w:cs="Calibri"/>
      <w:sz w:val="24"/>
    </w:rPr>
  </w:style>
  <w:style w:type="paragraph" w:styleId="Heading1">
    <w:name w:val="heading 1"/>
    <w:basedOn w:val="Normal"/>
    <w:next w:val="Normal"/>
    <w:link w:val="Heading1Char"/>
    <w:uiPriority w:val="9"/>
    <w:qFormat/>
    <w:rsid w:val="00A348A4"/>
    <w:pPr>
      <w:keepNext/>
      <w:numPr>
        <w:numId w:val="5"/>
      </w:numPr>
      <w:outlineLvl w:val="0"/>
    </w:pPr>
    <w:rPr>
      <w:rFonts w:eastAsia="Times New Roman"/>
      <w:b/>
      <w:bCs/>
      <w:kern w:val="32"/>
      <w:szCs w:val="32"/>
      <w:lang w:val="x-none" w:eastAsia="x-none"/>
    </w:rPr>
  </w:style>
  <w:style w:type="paragraph" w:styleId="Heading2">
    <w:name w:val="heading 2"/>
    <w:basedOn w:val="Normal"/>
    <w:next w:val="Normal"/>
    <w:link w:val="Heading2Char"/>
    <w:uiPriority w:val="9"/>
    <w:unhideWhenUsed/>
    <w:qFormat/>
    <w:rsid w:val="00A348A4"/>
    <w:pPr>
      <w:keepNext/>
      <w:numPr>
        <w:ilvl w:val="1"/>
        <w:numId w:val="5"/>
      </w:numPr>
      <w:outlineLvl w:val="1"/>
    </w:pPr>
    <w:rPr>
      <w:rFonts w:eastAsia="Times New Roman"/>
      <w:b/>
      <w:bCs/>
      <w:iCs/>
      <w:szCs w:val="28"/>
      <w:lang w:val="x-none" w:eastAsia="x-none"/>
    </w:rPr>
  </w:style>
  <w:style w:type="paragraph" w:styleId="Heading3">
    <w:name w:val="heading 3"/>
    <w:basedOn w:val="Normal"/>
    <w:next w:val="Normal"/>
    <w:link w:val="Heading3Char"/>
    <w:uiPriority w:val="9"/>
    <w:unhideWhenUsed/>
    <w:qFormat/>
    <w:rsid w:val="00A348A4"/>
    <w:pPr>
      <w:keepNext/>
      <w:numPr>
        <w:ilvl w:val="2"/>
        <w:numId w:val="6"/>
      </w:numPr>
      <w:ind w:left="72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700"/>
    <w:pPr>
      <w:ind w:left="720"/>
      <w:contextualSpacing/>
    </w:pPr>
  </w:style>
  <w:style w:type="character" w:customStyle="1" w:styleId="Heading1Char">
    <w:name w:val="Heading 1 Char"/>
    <w:link w:val="Heading1"/>
    <w:uiPriority w:val="9"/>
    <w:rsid w:val="00A348A4"/>
    <w:rPr>
      <w:rFonts w:ascii="Times New Roman" w:eastAsia="Times New Roman" w:hAnsi="Times New Roman"/>
      <w:b/>
      <w:bCs/>
      <w:kern w:val="32"/>
      <w:sz w:val="24"/>
      <w:szCs w:val="32"/>
      <w:lang w:val="x-none" w:eastAsia="x-none"/>
    </w:rPr>
  </w:style>
  <w:style w:type="character" w:customStyle="1" w:styleId="Heading2Char">
    <w:name w:val="Heading 2 Char"/>
    <w:link w:val="Heading2"/>
    <w:uiPriority w:val="9"/>
    <w:rsid w:val="00A348A4"/>
    <w:rPr>
      <w:rFonts w:ascii="Times New Roman" w:eastAsia="Times New Roman" w:hAnsi="Times New Roman"/>
      <w:b/>
      <w:bCs/>
      <w:iCs/>
      <w:sz w:val="24"/>
      <w:szCs w:val="28"/>
      <w:lang w:val="x-none" w:eastAsia="x-none"/>
    </w:rPr>
  </w:style>
  <w:style w:type="character" w:customStyle="1" w:styleId="Heading3Char">
    <w:name w:val="Heading 3 Char"/>
    <w:link w:val="Heading3"/>
    <w:uiPriority w:val="9"/>
    <w:rsid w:val="00A348A4"/>
    <w:rPr>
      <w:rFonts w:ascii="Times New Roman" w:eastAsia="Times New Roman" w:hAnsi="Times New Roman"/>
      <w:b/>
      <w:bCs/>
      <w:sz w:val="24"/>
      <w:szCs w:val="26"/>
    </w:rPr>
  </w:style>
  <w:style w:type="paragraph" w:customStyle="1" w:styleId="Style1">
    <w:name w:val="Style1"/>
    <w:basedOn w:val="Heading2"/>
    <w:link w:val="Style1Char"/>
    <w:qFormat/>
    <w:rsid w:val="00A348A4"/>
    <w:pPr>
      <w:numPr>
        <w:numId w:val="6"/>
      </w:numPr>
      <w:ind w:left="576"/>
    </w:pPr>
    <w:rPr>
      <w:bCs w:val="0"/>
      <w:iCs w:val="0"/>
      <w:szCs w:val="24"/>
    </w:rPr>
  </w:style>
  <w:style w:type="character" w:customStyle="1" w:styleId="Style1Char">
    <w:name w:val="Style1 Char"/>
    <w:basedOn w:val="Heading2Char"/>
    <w:link w:val="Style1"/>
    <w:rsid w:val="00A348A4"/>
    <w:rPr>
      <w:rFonts w:ascii="Times New Roman" w:eastAsia="Times New Roman" w:hAnsi="Times New Roman" w:cs="Times New Roman"/>
      <w:b/>
      <w:bCs w:val="0"/>
      <w:iCs w:val="0"/>
      <w:sz w:val="24"/>
      <w:szCs w:val="24"/>
      <w:lang w:val="x-none" w:eastAsia="x-none"/>
    </w:rPr>
  </w:style>
  <w:style w:type="paragraph" w:customStyle="1" w:styleId="Style2">
    <w:name w:val="Style2"/>
    <w:basedOn w:val="Style1"/>
    <w:link w:val="Style2Char"/>
    <w:qFormat/>
    <w:rsid w:val="00A348A4"/>
    <w:rPr>
      <w:b w:val="0"/>
    </w:rPr>
  </w:style>
  <w:style w:type="character" w:customStyle="1" w:styleId="Style2Char">
    <w:name w:val="Style2 Char"/>
    <w:basedOn w:val="Style1Char"/>
    <w:link w:val="Style2"/>
    <w:rsid w:val="00A348A4"/>
    <w:rPr>
      <w:rFonts w:ascii="Times New Roman" w:eastAsia="Times New Roman" w:hAnsi="Times New Roman" w:cs="Times New Roman"/>
      <w:b w:val="0"/>
      <w:bCs w:val="0"/>
      <w:iCs w:val="0"/>
      <w:sz w:val="24"/>
      <w:szCs w:val="24"/>
      <w:lang w:val="x-none" w:eastAsia="x-none"/>
    </w:rPr>
  </w:style>
  <w:style w:type="character" w:styleId="Hyperlink">
    <w:name w:val="Hyperlink"/>
    <w:basedOn w:val="DefaultParagraphFont"/>
    <w:uiPriority w:val="99"/>
    <w:unhideWhenUsed/>
    <w:rsid w:val="00AA08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5th-congress/senate-bill/3297/text?q=%7B%22search%22%3A%5B%22s+3297%22%5D%7D&amp;r=1" TargetMode="External"/><Relationship Id="rId3" Type="http://schemas.openxmlformats.org/officeDocument/2006/relationships/settings" Target="settings.xml"/><Relationship Id="rId7" Type="http://schemas.openxmlformats.org/officeDocument/2006/relationships/hyperlink" Target="https://www.govtrack.us/congress/bills/116/hr78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gress.gov/bill/111th-congress/house-bill/146" TargetMode="External"/><Relationship Id="rId11" Type="http://schemas.openxmlformats.org/officeDocument/2006/relationships/fontTable" Target="fontTable.xml"/><Relationship Id="rId5" Type="http://schemas.openxmlformats.org/officeDocument/2006/relationships/hyperlink" Target="https://www.congress.gov/bill/109th-congress/senate-bill/3636" TargetMode="External"/><Relationship Id="rId10" Type="http://schemas.openxmlformats.org/officeDocument/2006/relationships/hyperlink" Target="https://www.federalregister.gov/documents/2021/01/15/2021-00652/notice-of-availability-of-the-records-of-decision-for-a-highway-right-of-way-amended-habitat" TargetMode="External"/><Relationship Id="rId4" Type="http://schemas.openxmlformats.org/officeDocument/2006/relationships/webSettings" Target="webSettings.xml"/><Relationship Id="rId9" Type="http://schemas.openxmlformats.org/officeDocument/2006/relationships/hyperlink" Target="https://www.govtrack.us/congress/bills/115/hr2423/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Butine</dc:creator>
  <cp:keywords/>
  <dc:description/>
  <cp:lastModifiedBy>Tom Butine</cp:lastModifiedBy>
  <cp:revision>1</cp:revision>
  <dcterms:created xsi:type="dcterms:W3CDTF">2021-01-16T19:16:00Z</dcterms:created>
  <dcterms:modified xsi:type="dcterms:W3CDTF">2021-01-16T19:20:00Z</dcterms:modified>
</cp:coreProperties>
</file>