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D42D" w14:textId="26C7F898" w:rsidR="00CD2EF0" w:rsidRPr="00CD2EF0" w:rsidRDefault="00CD2EF0" w:rsidP="00CD2EF0">
      <w:pPr>
        <w:rPr>
          <w:sz w:val="16"/>
          <w:szCs w:val="14"/>
        </w:rPr>
      </w:pPr>
      <w:r w:rsidRPr="00CD2EF0">
        <w:rPr>
          <w:sz w:val="16"/>
          <w:szCs w:val="14"/>
        </w:rPr>
        <w:t xml:space="preserve">Rev </w:t>
      </w:r>
      <w:r w:rsidR="00135A21">
        <w:rPr>
          <w:sz w:val="16"/>
          <w:szCs w:val="14"/>
        </w:rPr>
        <w:t>6</w:t>
      </w:r>
      <w:r w:rsidRPr="00CD2EF0">
        <w:rPr>
          <w:sz w:val="16"/>
          <w:szCs w:val="14"/>
        </w:rPr>
        <w:t xml:space="preserve">, </w:t>
      </w:r>
      <w:r w:rsidR="00135A21">
        <w:rPr>
          <w:sz w:val="16"/>
          <w:szCs w:val="14"/>
        </w:rPr>
        <w:t>12-1</w:t>
      </w:r>
      <w:r w:rsidRPr="00CD2EF0">
        <w:rPr>
          <w:sz w:val="16"/>
          <w:szCs w:val="14"/>
        </w:rPr>
        <w:t>-19</w:t>
      </w:r>
    </w:p>
    <w:p w14:paraId="180DF54B" w14:textId="770CAED9" w:rsidR="00CD2EF0" w:rsidRPr="00CD2EF0" w:rsidRDefault="00CD2EF0" w:rsidP="00183D43">
      <w:pPr>
        <w:jc w:val="center"/>
        <w:rPr>
          <w:b/>
          <w:bCs/>
        </w:rPr>
      </w:pPr>
      <w:r w:rsidRPr="00CD2EF0">
        <w:rPr>
          <w:b/>
          <w:bCs/>
        </w:rPr>
        <w:t>CSU Position on Water</w:t>
      </w:r>
      <w:r w:rsidR="00183D43">
        <w:rPr>
          <w:b/>
          <w:bCs/>
        </w:rPr>
        <w:t xml:space="preserve"> </w:t>
      </w:r>
      <w:r w:rsidRPr="00CD2EF0">
        <w:rPr>
          <w:b/>
          <w:bCs/>
        </w:rPr>
        <w:t>Conservation and the LPP</w:t>
      </w:r>
    </w:p>
    <w:p w14:paraId="2A0445F7" w14:textId="77777777" w:rsidR="00CD2EF0" w:rsidRDefault="00CD2EF0" w:rsidP="00CD2EF0"/>
    <w:p w14:paraId="3937CC80" w14:textId="77777777" w:rsidR="00F51B5C" w:rsidRDefault="00F51B5C" w:rsidP="00CD2EF0">
      <w:bookmarkStart w:id="0" w:name="_Hlk23341685"/>
      <w:r w:rsidRPr="00F51B5C">
        <w:t xml:space="preserve">Washington County should focus on water conservation, becoming exemplary users of our local water supply, and consider the Lake Powell Pipeline after </w:t>
      </w:r>
    </w:p>
    <w:p w14:paraId="5C222C67" w14:textId="50FF9F01" w:rsidR="00F51B5C" w:rsidRDefault="00F51B5C" w:rsidP="00F51B5C">
      <w:pPr>
        <w:pStyle w:val="ListParagraph"/>
        <w:numPr>
          <w:ilvl w:val="0"/>
          <w:numId w:val="14"/>
        </w:numPr>
        <w:ind w:left="1080"/>
      </w:pPr>
      <w:r w:rsidRPr="00F51B5C">
        <w:t>use has become exemplary</w:t>
      </w:r>
    </w:p>
    <w:p w14:paraId="0D331EC3" w14:textId="6664044C" w:rsidR="00F51B5C" w:rsidRDefault="00F51B5C" w:rsidP="00F51B5C">
      <w:pPr>
        <w:pStyle w:val="ListParagraph"/>
        <w:numPr>
          <w:ilvl w:val="0"/>
          <w:numId w:val="14"/>
        </w:numPr>
        <w:ind w:left="1080"/>
      </w:pPr>
      <w:r w:rsidRPr="00F51B5C">
        <w:t xml:space="preserve">the security of the water right and the climate impacts to the Colorado River flows are better known, and </w:t>
      </w:r>
    </w:p>
    <w:p w14:paraId="4EEDAB49" w14:textId="4E058180" w:rsidR="00F51B5C" w:rsidRDefault="00F51B5C" w:rsidP="00F51B5C">
      <w:pPr>
        <w:pStyle w:val="ListParagraph"/>
        <w:numPr>
          <w:ilvl w:val="0"/>
          <w:numId w:val="14"/>
        </w:numPr>
        <w:ind w:left="1080"/>
      </w:pPr>
      <w:r w:rsidRPr="00F51B5C">
        <w:t>the population growth has been realized and can reduce the interest burden through a shorter loan period.</w:t>
      </w:r>
    </w:p>
    <w:p w14:paraId="42B6FFBC" w14:textId="77777777" w:rsidR="00CD2EF0" w:rsidRDefault="00CD2EF0" w:rsidP="00CD2EF0"/>
    <w:p w14:paraId="36CEC1CE" w14:textId="692780CA" w:rsidR="00CD2EF0" w:rsidRPr="00135A21" w:rsidRDefault="00CD2EF0" w:rsidP="00CD2EF0">
      <w:pPr>
        <w:rPr>
          <w:b/>
          <w:bCs/>
        </w:rPr>
      </w:pPr>
      <w:r w:rsidRPr="00135A21">
        <w:rPr>
          <w:b/>
          <w:bCs/>
        </w:rPr>
        <w:t xml:space="preserve"> Rationale and </w:t>
      </w:r>
      <w:r w:rsidR="00135A21">
        <w:rPr>
          <w:b/>
          <w:bCs/>
        </w:rPr>
        <w:t>E</w:t>
      </w:r>
      <w:r w:rsidRPr="00135A21">
        <w:rPr>
          <w:b/>
          <w:bCs/>
        </w:rPr>
        <w:t>xplanation:</w:t>
      </w:r>
    </w:p>
    <w:p w14:paraId="74881198" w14:textId="7E052981" w:rsidR="00F51B5C" w:rsidRPr="00CD2EF0" w:rsidRDefault="00F51B5C" w:rsidP="00135A21">
      <w:r>
        <w:t>1. Exemplary water use</w:t>
      </w:r>
    </w:p>
    <w:p w14:paraId="34EDBE99" w14:textId="77777777" w:rsidR="00CD2EF0" w:rsidRPr="00CD2EF0" w:rsidRDefault="00CD2EF0" w:rsidP="00135A21">
      <w:pPr>
        <w:numPr>
          <w:ilvl w:val="1"/>
          <w:numId w:val="9"/>
        </w:numPr>
        <w:tabs>
          <w:tab w:val="clear" w:pos="1440"/>
          <w:tab w:val="num" w:pos="720"/>
        </w:tabs>
        <w:ind w:left="720"/>
      </w:pPr>
      <w:r w:rsidRPr="00CD2EF0">
        <w:t>We use a lot more water than needed to retain a viable, attractive community.  Other comparable Southwestern communities use much less.</w:t>
      </w:r>
    </w:p>
    <w:p w14:paraId="1FB5C75B" w14:textId="10056875" w:rsidR="00CD2EF0" w:rsidRPr="00CD2EF0" w:rsidRDefault="00F51B5C" w:rsidP="00135A21">
      <w:pPr>
        <w:numPr>
          <w:ilvl w:val="1"/>
          <w:numId w:val="9"/>
        </w:numPr>
        <w:tabs>
          <w:tab w:val="clear" w:pos="1440"/>
          <w:tab w:val="num" w:pos="720"/>
        </w:tabs>
        <w:ind w:left="720"/>
      </w:pPr>
      <w:r>
        <w:t>Water agencies</w:t>
      </w:r>
      <w:r w:rsidR="00CD2EF0" w:rsidRPr="00CD2EF0">
        <w:t xml:space="preserve"> contend that because comparisons to other communities are “apples to oranges”, they can’t be compared.  This is </w:t>
      </w:r>
      <w:r>
        <w:t>incorrect</w:t>
      </w:r>
      <w:r w:rsidR="00CD2EF0" w:rsidRPr="00CD2EF0">
        <w:t>.  No two real entities are exactly comparable, even two apples.  Differences must be recognized and addressed.  There is a common scientific method called “normalization” for performing comparisons of data about two entities that are not identical.  We should enlist the DWRe to help in making those comparisons.</w:t>
      </w:r>
    </w:p>
    <w:p w14:paraId="1BADA462" w14:textId="75344F5B" w:rsidR="00CD2EF0" w:rsidRPr="00CD2EF0" w:rsidRDefault="00CD2EF0" w:rsidP="00135A21">
      <w:pPr>
        <w:numPr>
          <w:ilvl w:val="1"/>
          <w:numId w:val="9"/>
        </w:numPr>
        <w:tabs>
          <w:tab w:val="clear" w:pos="1440"/>
          <w:tab w:val="num" w:pos="720"/>
        </w:tabs>
        <w:ind w:left="720"/>
      </w:pPr>
      <w:r w:rsidRPr="00CD2EF0">
        <w:t xml:space="preserve">Reducing our M&amp;I water use from 300 GPCD to 180 over the next 50 years would enable us to support our projected population growth with our local water.  </w:t>
      </w:r>
      <w:r w:rsidR="00F51B5C">
        <w:t xml:space="preserve">This could be done incrementally, with little or no debt/interest, and with a much lower principle investment than the LPP.  </w:t>
      </w:r>
      <w:r w:rsidRPr="00CD2EF0">
        <w:t xml:space="preserve">We should enlist the DWRe to help determine if/how to make this happen, </w:t>
      </w:r>
      <w:r w:rsidR="00F51B5C">
        <w:t xml:space="preserve">what the cost/yield is, </w:t>
      </w:r>
      <w:r w:rsidRPr="00CD2EF0">
        <w:t>what different levels of water use in our community would look like, set meaningful and realistic objectives for our future water use, and then build a plan for it.</w:t>
      </w:r>
    </w:p>
    <w:p w14:paraId="6F881186" w14:textId="1E46422C" w:rsidR="00CD2EF0" w:rsidRDefault="00CD2EF0" w:rsidP="00135A21">
      <w:pPr>
        <w:numPr>
          <w:ilvl w:val="1"/>
          <w:numId w:val="9"/>
        </w:numPr>
        <w:tabs>
          <w:tab w:val="clear" w:pos="1440"/>
          <w:tab w:val="num" w:pos="720"/>
        </w:tabs>
        <w:ind w:left="720"/>
      </w:pPr>
      <w:r w:rsidRPr="00CD2EF0">
        <w:t xml:space="preserve">There have been few active conservation methods implemented in the county.  Many </w:t>
      </w:r>
      <w:r w:rsidRPr="00CD2EF0">
        <w:rPr>
          <w:i/>
          <w:iCs/>
        </w:rPr>
        <w:t>active</w:t>
      </w:r>
      <w:r w:rsidRPr="00CD2EF0">
        <w:t xml:space="preserve"> conservation methods </w:t>
      </w:r>
      <w:r w:rsidR="00F51B5C">
        <w:t xml:space="preserve">(not relying on voluntary or “pull” actions by the public) </w:t>
      </w:r>
      <w:r w:rsidRPr="00CD2EF0">
        <w:t xml:space="preserve">have high yields and low costs, </w:t>
      </w:r>
      <w:r w:rsidR="00486F45">
        <w:t>like</w:t>
      </w:r>
      <w:r w:rsidRPr="00CD2EF0">
        <w:t xml:space="preserve"> conservation-minded </w:t>
      </w:r>
      <w:r w:rsidR="00486F45">
        <w:t>revenue streams and water-wise building codes</w:t>
      </w:r>
      <w:r w:rsidRPr="00CD2EF0">
        <w:t>.</w:t>
      </w:r>
      <w:r>
        <w:t xml:space="preserve">  Even though </w:t>
      </w:r>
      <w:hyperlink r:id="rId6" w:history="1">
        <w:r w:rsidR="00F51B5C" w:rsidRPr="00F51B5C">
          <w:rPr>
            <w:rStyle w:val="Hyperlink"/>
          </w:rPr>
          <w:t>Utah law</w:t>
        </w:r>
      </w:hyperlink>
      <w:r w:rsidR="00F51B5C">
        <w:t xml:space="preserve"> (section </w:t>
      </w:r>
      <w:r>
        <w:t>2</w:t>
      </w:r>
      <w:r w:rsidR="00F51B5C">
        <w:t>.</w:t>
      </w:r>
      <w:r>
        <w:t>a</w:t>
      </w:r>
      <w:r w:rsidR="00F51B5C">
        <w:t>.</w:t>
      </w:r>
      <w:r>
        <w:t xml:space="preserve">i) is fairly weak in its requirement for water conservation planning, DWRe guidelines are weaker yet, and even though most “plans” in the state, including those in Washington County, follow those guidelines, they do not meet state requirements, do not qualify as a </w:t>
      </w:r>
      <w:r w:rsidR="00F51B5C">
        <w:t>“</w:t>
      </w:r>
      <w:r>
        <w:t>plan</w:t>
      </w:r>
      <w:r w:rsidR="00F51B5C">
        <w:t>”</w:t>
      </w:r>
      <w:r>
        <w:t xml:space="preserve">, and indicate conservation is not taken seriously. </w:t>
      </w:r>
    </w:p>
    <w:p w14:paraId="652BED86" w14:textId="4A5F8971" w:rsidR="00F51B5C" w:rsidRPr="00CD2EF0" w:rsidRDefault="00F51B5C" w:rsidP="00135A21">
      <w:r>
        <w:t>2. The water right risk</w:t>
      </w:r>
    </w:p>
    <w:p w14:paraId="52153E49" w14:textId="77777777" w:rsidR="00CD2EF0" w:rsidRPr="00CD2EF0" w:rsidRDefault="00CD2EF0" w:rsidP="00135A21">
      <w:pPr>
        <w:ind w:left="360"/>
      </w:pPr>
      <w:r w:rsidRPr="00CD2EF0">
        <w:t>Utah’s ability to support the LPP with its allocation of the Colorado River is based on the assumption that river flows will not decrease much below the 1922 Compact assumption of 15 MAFY.  For the past 20 years it has averaged more like 12.5 MAFY.  Climate projections indicate a significant chance of it going to 9 MAFY within the next 50 years.  At that flow, Utah is currently using more than its allocation, not counting the LPP.  There is no concept, much less a plan, for supplying the LPP under those conditions.  We should enlist the DWRe and the BOR to help define the concept and the plan.</w:t>
      </w:r>
    </w:p>
    <w:p w14:paraId="6D58141C" w14:textId="77777777" w:rsidR="00F51B5C" w:rsidRDefault="00F51B5C" w:rsidP="00135A21">
      <w:r>
        <w:t xml:space="preserve">3. Reduced interest </w:t>
      </w:r>
    </w:p>
    <w:p w14:paraId="1403530F" w14:textId="19502E42" w:rsidR="00CD2EF0" w:rsidRDefault="00CD2EF0" w:rsidP="00135A21">
      <w:pPr>
        <w:ind w:left="360"/>
      </w:pPr>
      <w:r w:rsidRPr="00CD2EF0">
        <w:t>At the LPP’s estimated cost of $1.5B, normal interests costs at 5% over the proposed 50-year period would be about $2.5B.  If we could wait 20 years or more for our population to grow as projected, we could plan a 30-year payback rather than a 50-year payback, saving over $1B in interest.</w:t>
      </w:r>
    </w:p>
    <w:p w14:paraId="340B5DDD" w14:textId="331CB07E" w:rsidR="00A47771" w:rsidRDefault="00A47771" w:rsidP="00F51B5C">
      <w:pPr>
        <w:ind w:left="1080"/>
      </w:pPr>
    </w:p>
    <w:p w14:paraId="6EAB9701" w14:textId="47CCFB45" w:rsidR="00A47771" w:rsidRDefault="00A47771" w:rsidP="00F51B5C">
      <w:pPr>
        <w:ind w:left="1080"/>
      </w:pPr>
    </w:p>
    <w:p w14:paraId="1DD0744A" w14:textId="32DA6DD6" w:rsidR="00A47771" w:rsidRDefault="00A47771" w:rsidP="00A47771">
      <w:pPr>
        <w:rPr>
          <w:b/>
          <w:bCs/>
        </w:rPr>
      </w:pPr>
      <w:r w:rsidRPr="00135A21">
        <w:rPr>
          <w:b/>
          <w:bCs/>
        </w:rPr>
        <w:lastRenderedPageBreak/>
        <w:t>Ke</w:t>
      </w:r>
      <w:r w:rsidR="000227F9" w:rsidRPr="00135A21">
        <w:rPr>
          <w:b/>
          <w:bCs/>
        </w:rPr>
        <w:t>y</w:t>
      </w:r>
      <w:r w:rsidRPr="00135A21">
        <w:rPr>
          <w:b/>
          <w:bCs/>
        </w:rPr>
        <w:t xml:space="preserve"> </w:t>
      </w:r>
      <w:r w:rsidR="00135A21" w:rsidRPr="00135A21">
        <w:rPr>
          <w:b/>
          <w:bCs/>
        </w:rPr>
        <w:t>Q</w:t>
      </w:r>
      <w:r w:rsidRPr="00135A21">
        <w:rPr>
          <w:b/>
          <w:bCs/>
        </w:rPr>
        <w:t>uestions</w:t>
      </w:r>
      <w:r w:rsidR="00135A21" w:rsidRPr="00135A21">
        <w:rPr>
          <w:b/>
          <w:bCs/>
        </w:rPr>
        <w:t xml:space="preserve">, </w:t>
      </w:r>
      <w:r w:rsidR="00135A21">
        <w:rPr>
          <w:b/>
          <w:bCs/>
        </w:rPr>
        <w:t xml:space="preserve">upon which </w:t>
      </w:r>
      <w:r w:rsidRPr="00135A21">
        <w:rPr>
          <w:b/>
          <w:bCs/>
        </w:rPr>
        <w:t>fact</w:t>
      </w:r>
      <w:r w:rsidR="000227F9" w:rsidRPr="00135A21">
        <w:rPr>
          <w:b/>
          <w:bCs/>
        </w:rPr>
        <w:t>-based answers</w:t>
      </w:r>
      <w:r w:rsidR="00135A21">
        <w:rPr>
          <w:b/>
          <w:bCs/>
        </w:rPr>
        <w:t xml:space="preserve"> are required to support a</w:t>
      </w:r>
      <w:r w:rsidR="00472DA5">
        <w:rPr>
          <w:b/>
          <w:bCs/>
        </w:rPr>
        <w:t>ny</w:t>
      </w:r>
      <w:r w:rsidR="00135A21">
        <w:rPr>
          <w:b/>
          <w:bCs/>
        </w:rPr>
        <w:t xml:space="preserve"> position</w:t>
      </w:r>
      <w:r w:rsidRPr="00135A21">
        <w:rPr>
          <w:b/>
          <w:bCs/>
        </w:rPr>
        <w:t>:</w:t>
      </w:r>
    </w:p>
    <w:p w14:paraId="6AD773BE" w14:textId="4026AA52" w:rsidR="00A47771" w:rsidRDefault="00A47771" w:rsidP="0085576B">
      <w:pPr>
        <w:pStyle w:val="ListParagraph"/>
        <w:numPr>
          <w:ilvl w:val="0"/>
          <w:numId w:val="24"/>
        </w:numPr>
        <w:ind w:left="360"/>
      </w:pPr>
      <w:r>
        <w:t>LPP Water Right Security</w:t>
      </w:r>
    </w:p>
    <w:p w14:paraId="1A08AA79" w14:textId="7438CAC3" w:rsidR="00A47771" w:rsidRDefault="00A47771" w:rsidP="0085576B">
      <w:pPr>
        <w:pStyle w:val="ListParagraph"/>
        <w:numPr>
          <w:ilvl w:val="1"/>
          <w:numId w:val="24"/>
        </w:numPr>
        <w:ind w:left="1080"/>
      </w:pPr>
      <w:r>
        <w:t>What is the projected high-probability long-term Colorado River flow rate?</w:t>
      </w:r>
    </w:p>
    <w:p w14:paraId="320EEF87" w14:textId="4DC3F32E" w:rsidR="00A47771" w:rsidRDefault="00A47771" w:rsidP="0085576B">
      <w:pPr>
        <w:pStyle w:val="ListParagraph"/>
        <w:numPr>
          <w:ilvl w:val="1"/>
          <w:numId w:val="24"/>
        </w:numPr>
        <w:ind w:left="1080"/>
      </w:pPr>
      <w:r>
        <w:t xml:space="preserve">What is Utah’s allocation of the Colorado River under </w:t>
      </w:r>
      <w:r w:rsidR="00135A21">
        <w:t>the</w:t>
      </w:r>
      <w:r>
        <w:t xml:space="preserve"> </w:t>
      </w:r>
      <w:r>
        <w:t>projected high</w:t>
      </w:r>
      <w:r>
        <w:t>-</w:t>
      </w:r>
      <w:r>
        <w:t>probability long-term flow rate?</w:t>
      </w:r>
    </w:p>
    <w:p w14:paraId="42ED16A3" w14:textId="41C15E06" w:rsidR="00A47771" w:rsidRDefault="00A47771" w:rsidP="0085576B">
      <w:pPr>
        <w:pStyle w:val="ListParagraph"/>
        <w:numPr>
          <w:ilvl w:val="1"/>
          <w:numId w:val="24"/>
        </w:numPr>
        <w:ind w:left="1080"/>
      </w:pPr>
      <w:r>
        <w:t>What is the high-probability projected cumulative perfected depletion of all water rights senior to the LPP’s water right?</w:t>
      </w:r>
    </w:p>
    <w:p w14:paraId="51C5945E" w14:textId="229FE100" w:rsidR="00A47771" w:rsidRDefault="00A47771" w:rsidP="0085576B">
      <w:pPr>
        <w:pStyle w:val="ListParagraph"/>
        <w:numPr>
          <w:ilvl w:val="1"/>
          <w:numId w:val="24"/>
        </w:numPr>
        <w:ind w:left="1080"/>
      </w:pPr>
      <w:r>
        <w:t>What is the concept and plan for supplying the LPP’s water if senior water rights exhaust Utah’s allocation?</w:t>
      </w:r>
    </w:p>
    <w:p w14:paraId="1A7D93BC" w14:textId="77777777" w:rsidR="00A47771" w:rsidRDefault="00A47771" w:rsidP="0085576B"/>
    <w:p w14:paraId="6591E3CA" w14:textId="17E6872A" w:rsidR="00A47771" w:rsidRDefault="00A47771" w:rsidP="0085576B">
      <w:pPr>
        <w:pStyle w:val="ListParagraph"/>
        <w:numPr>
          <w:ilvl w:val="0"/>
          <w:numId w:val="24"/>
        </w:numPr>
        <w:ind w:left="360"/>
      </w:pPr>
      <w:r>
        <w:t xml:space="preserve">Washington County Water </w:t>
      </w:r>
      <w:r w:rsidR="000227F9">
        <w:t>Supply and Demand</w:t>
      </w:r>
    </w:p>
    <w:p w14:paraId="0085EDFF" w14:textId="1B2912CD" w:rsidR="000227F9" w:rsidRDefault="00A47771" w:rsidP="0085576B">
      <w:pPr>
        <w:pStyle w:val="ListParagraph"/>
        <w:numPr>
          <w:ilvl w:val="1"/>
          <w:numId w:val="24"/>
        </w:numPr>
        <w:ind w:left="1080"/>
      </w:pPr>
      <w:r>
        <w:t xml:space="preserve">What is the projected high-probability </w:t>
      </w:r>
      <w:r w:rsidR="000227F9">
        <w:t xml:space="preserve">local </w:t>
      </w:r>
      <w:r>
        <w:t>water availability?</w:t>
      </w:r>
    </w:p>
    <w:p w14:paraId="0F395193" w14:textId="2DAAE8C6" w:rsidR="00A47771" w:rsidRDefault="00A47771" w:rsidP="0085576B">
      <w:pPr>
        <w:pStyle w:val="ListParagraph"/>
        <w:numPr>
          <w:ilvl w:val="1"/>
          <w:numId w:val="24"/>
        </w:numPr>
        <w:ind w:left="1080"/>
      </w:pPr>
      <w:r>
        <w:t xml:space="preserve">What water use </w:t>
      </w:r>
      <w:r w:rsidR="000227F9">
        <w:t>would be considered exemplary in comparison to other communities</w:t>
      </w:r>
      <w:r>
        <w:t>?</w:t>
      </w:r>
    </w:p>
    <w:p w14:paraId="3F35ACF1" w14:textId="0BEC31A8" w:rsidR="00486F45" w:rsidRDefault="000227F9" w:rsidP="0085576B">
      <w:pPr>
        <w:pStyle w:val="ListParagraph"/>
        <w:numPr>
          <w:ilvl w:val="1"/>
          <w:numId w:val="24"/>
        </w:numPr>
        <w:ind w:left="1080"/>
      </w:pPr>
      <w:r>
        <w:t>What is the plan to achieve that use?</w:t>
      </w:r>
    </w:p>
    <w:p w14:paraId="7DBC9F21" w14:textId="7C4ADBB6" w:rsidR="000227F9" w:rsidRDefault="000227F9" w:rsidP="0085576B">
      <w:pPr>
        <w:pStyle w:val="ListParagraph"/>
        <w:numPr>
          <w:ilvl w:val="1"/>
          <w:numId w:val="24"/>
        </w:numPr>
        <w:ind w:left="1080"/>
      </w:pPr>
      <w:r>
        <w:t>In what projected year is the local water supply challenged by exemplary demand?</w:t>
      </w:r>
    </w:p>
    <w:p w14:paraId="2B43FD64" w14:textId="6A5CB7AC" w:rsidR="00BC6430" w:rsidRDefault="00BC6430" w:rsidP="0085576B">
      <w:pPr>
        <w:ind w:left="1080"/>
        <w:rPr>
          <w:i/>
          <w:iCs/>
        </w:rPr>
      </w:pPr>
    </w:p>
    <w:p w14:paraId="01FF333B" w14:textId="32C47015" w:rsidR="00BC6430" w:rsidRDefault="00BC6430" w:rsidP="0085576B">
      <w:pPr>
        <w:pStyle w:val="ListParagraph"/>
        <w:numPr>
          <w:ilvl w:val="0"/>
          <w:numId w:val="24"/>
        </w:numPr>
        <w:ind w:left="360"/>
      </w:pPr>
      <w:r>
        <w:t>Water Management</w:t>
      </w:r>
    </w:p>
    <w:p w14:paraId="350C98B1" w14:textId="5F282271" w:rsidR="00BC6430" w:rsidRDefault="00BC6430" w:rsidP="0085576B">
      <w:pPr>
        <w:pStyle w:val="ListParagraph"/>
        <w:numPr>
          <w:ilvl w:val="1"/>
          <w:numId w:val="24"/>
        </w:numPr>
        <w:ind w:left="1080"/>
      </w:pPr>
      <w:r>
        <w:t>Do the water conservation plans in the county (and the DWRe guidelines for them) meet the requirements of state law?</w:t>
      </w:r>
    </w:p>
    <w:p w14:paraId="0737086E" w14:textId="3EB8182D" w:rsidR="00BC6430" w:rsidRDefault="00BC6430" w:rsidP="0085576B">
      <w:pPr>
        <w:pStyle w:val="ListParagraph"/>
        <w:numPr>
          <w:ilvl w:val="1"/>
          <w:numId w:val="24"/>
        </w:numPr>
        <w:ind w:left="1080"/>
      </w:pPr>
      <w:r>
        <w:t xml:space="preserve">What elements are required to satisfy the </w:t>
      </w:r>
      <w:r>
        <w:t xml:space="preserve">common dictionary and management </w:t>
      </w:r>
      <w:r>
        <w:t>definition</w:t>
      </w:r>
      <w:r>
        <w:t>s</w:t>
      </w:r>
      <w:r>
        <w:t xml:space="preserve"> of a plan?</w:t>
      </w:r>
    </w:p>
    <w:p w14:paraId="309CB776" w14:textId="595CFB78" w:rsidR="00BC6430" w:rsidRPr="00BC6430" w:rsidRDefault="00BC6430" w:rsidP="0085576B">
      <w:pPr>
        <w:pStyle w:val="ListParagraph"/>
        <w:numPr>
          <w:ilvl w:val="1"/>
          <w:numId w:val="24"/>
        </w:numPr>
        <w:ind w:left="1080"/>
      </w:pPr>
      <w:r>
        <w:t>How should the county set a water use goal and objective, and have they been set?</w:t>
      </w:r>
    </w:p>
    <w:p w14:paraId="247BC146" w14:textId="397693AE" w:rsidR="000227F9" w:rsidRDefault="000227F9" w:rsidP="0085576B">
      <w:pPr>
        <w:pStyle w:val="ListParagraph"/>
        <w:numPr>
          <w:ilvl w:val="1"/>
          <w:numId w:val="24"/>
        </w:numPr>
        <w:ind w:left="1080"/>
      </w:pPr>
      <w:r>
        <w:t>What is the plan to meet demand if the LPP water right is not secure enough to responsibly build the LPP, or if financing cannot be secured?</w:t>
      </w:r>
    </w:p>
    <w:p w14:paraId="07799FB1" w14:textId="661E6C3B" w:rsidR="000227F9" w:rsidRDefault="000227F9" w:rsidP="0085576B"/>
    <w:p w14:paraId="382B0D45" w14:textId="55E97A90" w:rsidR="000227F9" w:rsidRDefault="000227F9" w:rsidP="0085576B">
      <w:pPr>
        <w:pStyle w:val="ListParagraph"/>
        <w:numPr>
          <w:ilvl w:val="0"/>
          <w:numId w:val="24"/>
        </w:numPr>
        <w:ind w:left="360"/>
      </w:pPr>
      <w:r>
        <w:t>Fiscal Responsibility</w:t>
      </w:r>
    </w:p>
    <w:p w14:paraId="5DD87111" w14:textId="21A02F44" w:rsidR="00FC7D92" w:rsidRPr="0085576B" w:rsidRDefault="000227F9" w:rsidP="0085576B">
      <w:pPr>
        <w:pStyle w:val="ListParagraph"/>
        <w:numPr>
          <w:ilvl w:val="1"/>
          <w:numId w:val="24"/>
        </w:numPr>
        <w:ind w:left="1080"/>
      </w:pPr>
      <w:r w:rsidRPr="0085576B">
        <w:t xml:space="preserve">What interest cost could be saved by waiting until exemplary use does not </w:t>
      </w:r>
    </w:p>
    <w:p w14:paraId="287BE66B" w14:textId="4244677A" w:rsidR="00FC7D92" w:rsidRDefault="00552627" w:rsidP="0085576B">
      <w:pPr>
        <w:pStyle w:val="ListParagraph"/>
        <w:numPr>
          <w:ilvl w:val="1"/>
          <w:numId w:val="24"/>
        </w:numPr>
        <w:ind w:left="1080"/>
      </w:pPr>
      <w:r>
        <w:t>What revenue mix would be the fairest (in terms of cost/benefit) and best encourage conservation?</w:t>
      </w:r>
    </w:p>
    <w:p w14:paraId="55427D93" w14:textId="34843A20" w:rsidR="00552627" w:rsidRDefault="00552627" w:rsidP="0085576B">
      <w:pPr>
        <w:pStyle w:val="ListParagraph"/>
        <w:numPr>
          <w:ilvl w:val="1"/>
          <w:numId w:val="24"/>
        </w:numPr>
        <w:ind w:left="1080"/>
      </w:pPr>
      <w:r>
        <w:t>Are there implications/constraints in state law?</w:t>
      </w:r>
    </w:p>
    <w:p w14:paraId="0ABB9996" w14:textId="77777777" w:rsidR="00552627" w:rsidRPr="00552627" w:rsidRDefault="00552627" w:rsidP="0085576B">
      <w:pPr>
        <w:pStyle w:val="ListParagraph"/>
        <w:ind w:left="360"/>
      </w:pPr>
    </w:p>
    <w:p w14:paraId="16C6F024" w14:textId="0E27703B" w:rsidR="00FC7D92" w:rsidRDefault="00FC7D92" w:rsidP="0085576B">
      <w:pPr>
        <w:pStyle w:val="ListParagraph"/>
        <w:numPr>
          <w:ilvl w:val="0"/>
          <w:numId w:val="24"/>
        </w:numPr>
        <w:ind w:left="360"/>
      </w:pPr>
      <w:r>
        <w:t>Bottom Line</w:t>
      </w:r>
    </w:p>
    <w:p w14:paraId="7AF77741" w14:textId="75AEE8A6" w:rsidR="00344A87" w:rsidRDefault="00FC7D92" w:rsidP="0085576B">
      <w:pPr>
        <w:pStyle w:val="ListParagraph"/>
        <w:ind w:left="360"/>
      </w:pPr>
      <w:r>
        <w:t>Doesn’t it make sense from both fiscal and risk reduction perspectives to conserve now and postpone the LPP as long as possible?</w:t>
      </w:r>
      <w:bookmarkEnd w:id="0"/>
    </w:p>
    <w:p w14:paraId="52202AD4" w14:textId="3717F10A" w:rsidR="0085576B" w:rsidRDefault="0085576B" w:rsidP="00552627">
      <w:pPr>
        <w:pStyle w:val="ListParagraph"/>
        <w:ind w:left="1440"/>
      </w:pPr>
    </w:p>
    <w:p w14:paraId="2C86E74C" w14:textId="4E642035" w:rsidR="0085576B" w:rsidRDefault="0085576B" w:rsidP="0085576B">
      <w:pPr>
        <w:pStyle w:val="ListParagraph"/>
      </w:pPr>
    </w:p>
    <w:p w14:paraId="5EE0B631" w14:textId="75C33BE5" w:rsidR="0085576B" w:rsidRPr="00347D5C" w:rsidRDefault="0085576B" w:rsidP="0085576B">
      <w:pPr>
        <w:rPr>
          <w:b/>
          <w:bCs/>
          <w:i/>
          <w:iCs/>
          <w:sz w:val="20"/>
          <w:szCs w:val="20"/>
        </w:rPr>
      </w:pPr>
      <w:r w:rsidRPr="00347D5C">
        <w:rPr>
          <w:b/>
          <w:bCs/>
          <w:i/>
          <w:iCs/>
          <w:sz w:val="20"/>
          <w:szCs w:val="20"/>
        </w:rPr>
        <w:t xml:space="preserve">CSU’s current answers </w:t>
      </w:r>
    </w:p>
    <w:p w14:paraId="014985CE" w14:textId="5B0F2AA6" w:rsidR="0085576B" w:rsidRPr="00347D5C" w:rsidRDefault="0085576B" w:rsidP="00347D5C">
      <w:pPr>
        <w:ind w:left="720" w:hanging="360"/>
        <w:rPr>
          <w:i/>
          <w:iCs/>
          <w:sz w:val="20"/>
          <w:szCs w:val="20"/>
        </w:rPr>
      </w:pPr>
      <w:r w:rsidRPr="00347D5C">
        <w:rPr>
          <w:i/>
          <w:iCs/>
          <w:sz w:val="20"/>
          <w:szCs w:val="20"/>
        </w:rPr>
        <w:t xml:space="preserve">1a. </w:t>
      </w:r>
      <w:r w:rsidRPr="00347D5C">
        <w:rPr>
          <w:i/>
          <w:iCs/>
          <w:sz w:val="20"/>
          <w:szCs w:val="20"/>
        </w:rPr>
        <w:t>Perhaps 9 MAFY</w:t>
      </w:r>
    </w:p>
    <w:p w14:paraId="77945972" w14:textId="4B2EE05C" w:rsidR="0085576B" w:rsidRPr="00347D5C" w:rsidRDefault="0085576B" w:rsidP="00347D5C">
      <w:pPr>
        <w:ind w:left="720" w:hanging="360"/>
        <w:rPr>
          <w:i/>
          <w:iCs/>
          <w:sz w:val="20"/>
          <w:szCs w:val="20"/>
        </w:rPr>
      </w:pPr>
      <w:r w:rsidRPr="00347D5C">
        <w:rPr>
          <w:i/>
          <w:iCs/>
          <w:sz w:val="20"/>
          <w:szCs w:val="20"/>
        </w:rPr>
        <w:t xml:space="preserve">1b. </w:t>
      </w:r>
      <w:r w:rsidRPr="00347D5C">
        <w:rPr>
          <w:i/>
          <w:iCs/>
          <w:sz w:val="20"/>
          <w:szCs w:val="20"/>
        </w:rPr>
        <w:t>Perhaps as low as 800,000 AFY, depending on interstate agreements.</w:t>
      </w:r>
    </w:p>
    <w:p w14:paraId="3CDD7B75" w14:textId="7977DC8C" w:rsidR="0085576B" w:rsidRPr="00347D5C" w:rsidRDefault="0085576B" w:rsidP="00347D5C">
      <w:pPr>
        <w:ind w:left="720" w:hanging="360"/>
        <w:rPr>
          <w:i/>
          <w:iCs/>
          <w:sz w:val="20"/>
          <w:szCs w:val="20"/>
        </w:rPr>
      </w:pPr>
      <w:r w:rsidRPr="00347D5C">
        <w:rPr>
          <w:i/>
          <w:iCs/>
          <w:sz w:val="20"/>
          <w:szCs w:val="20"/>
        </w:rPr>
        <w:t xml:space="preserve">1c. </w:t>
      </w:r>
      <w:r w:rsidRPr="00347D5C">
        <w:rPr>
          <w:i/>
          <w:iCs/>
          <w:sz w:val="20"/>
          <w:szCs w:val="20"/>
        </w:rPr>
        <w:t>Perhaps 1.2MAFY; more than the allocation and current use, not counting the LPP</w:t>
      </w:r>
      <w:r w:rsidR="00347D5C" w:rsidRPr="00347D5C">
        <w:rPr>
          <w:i/>
          <w:iCs/>
          <w:sz w:val="20"/>
          <w:szCs w:val="20"/>
        </w:rPr>
        <w:t>.</w:t>
      </w:r>
    </w:p>
    <w:p w14:paraId="7BFA4020" w14:textId="0573ACEB" w:rsidR="0085576B" w:rsidRPr="00347D5C" w:rsidRDefault="0085576B" w:rsidP="00347D5C">
      <w:pPr>
        <w:ind w:left="720" w:hanging="360"/>
        <w:rPr>
          <w:i/>
          <w:iCs/>
          <w:sz w:val="20"/>
          <w:szCs w:val="20"/>
        </w:rPr>
      </w:pPr>
      <w:r w:rsidRPr="00347D5C">
        <w:rPr>
          <w:i/>
          <w:iCs/>
          <w:sz w:val="20"/>
          <w:szCs w:val="20"/>
        </w:rPr>
        <w:t xml:space="preserve">1d. </w:t>
      </w:r>
      <w:r w:rsidRPr="00347D5C">
        <w:rPr>
          <w:i/>
          <w:iCs/>
          <w:sz w:val="20"/>
          <w:szCs w:val="20"/>
        </w:rPr>
        <w:t>There is none.</w:t>
      </w:r>
    </w:p>
    <w:p w14:paraId="2B410703" w14:textId="67291001" w:rsidR="0085576B" w:rsidRPr="00347D5C" w:rsidRDefault="0085576B" w:rsidP="00347D5C">
      <w:pPr>
        <w:ind w:left="720" w:hanging="360"/>
        <w:rPr>
          <w:i/>
          <w:iCs/>
          <w:sz w:val="20"/>
          <w:szCs w:val="20"/>
        </w:rPr>
      </w:pPr>
      <w:r w:rsidRPr="00347D5C">
        <w:rPr>
          <w:i/>
          <w:iCs/>
          <w:sz w:val="20"/>
          <w:szCs w:val="20"/>
        </w:rPr>
        <w:t xml:space="preserve">2a. </w:t>
      </w:r>
      <w:r w:rsidRPr="00347D5C">
        <w:rPr>
          <w:i/>
          <w:iCs/>
          <w:sz w:val="20"/>
          <w:szCs w:val="20"/>
        </w:rPr>
        <w:t>100,000 AFY, per the WCWCD</w:t>
      </w:r>
    </w:p>
    <w:p w14:paraId="14B84E7D" w14:textId="18047676" w:rsidR="0085576B" w:rsidRPr="00347D5C" w:rsidRDefault="0085576B" w:rsidP="00347D5C">
      <w:pPr>
        <w:ind w:left="720" w:hanging="360"/>
        <w:rPr>
          <w:i/>
          <w:iCs/>
          <w:sz w:val="20"/>
          <w:szCs w:val="20"/>
        </w:rPr>
      </w:pPr>
      <w:r w:rsidRPr="00347D5C">
        <w:rPr>
          <w:i/>
          <w:iCs/>
          <w:sz w:val="20"/>
          <w:szCs w:val="20"/>
        </w:rPr>
        <w:t xml:space="preserve">2b. </w:t>
      </w:r>
      <w:r w:rsidRPr="00347D5C">
        <w:rPr>
          <w:i/>
          <w:iCs/>
          <w:sz w:val="20"/>
          <w:szCs w:val="20"/>
        </w:rPr>
        <w:t>Perhaps 180 GPCD</w:t>
      </w:r>
    </w:p>
    <w:p w14:paraId="280B0C35" w14:textId="2DF947AE" w:rsidR="0085576B" w:rsidRPr="00347D5C" w:rsidRDefault="0085576B" w:rsidP="00347D5C">
      <w:pPr>
        <w:ind w:left="720" w:hanging="360"/>
        <w:rPr>
          <w:i/>
          <w:iCs/>
          <w:sz w:val="20"/>
          <w:szCs w:val="20"/>
        </w:rPr>
      </w:pPr>
      <w:r w:rsidRPr="00347D5C">
        <w:rPr>
          <w:i/>
          <w:iCs/>
          <w:sz w:val="20"/>
          <w:szCs w:val="20"/>
        </w:rPr>
        <w:t xml:space="preserve">2c. </w:t>
      </w:r>
      <w:r w:rsidRPr="00347D5C">
        <w:rPr>
          <w:i/>
          <w:iCs/>
          <w:sz w:val="20"/>
          <w:szCs w:val="20"/>
        </w:rPr>
        <w:t>There is no plan to reduce from the current 300 GPCD.</w:t>
      </w:r>
    </w:p>
    <w:p w14:paraId="7EE2BEE5" w14:textId="0654CE31" w:rsidR="0085576B" w:rsidRPr="00347D5C" w:rsidRDefault="0085576B" w:rsidP="00347D5C">
      <w:pPr>
        <w:ind w:left="720" w:hanging="360"/>
        <w:rPr>
          <w:i/>
          <w:iCs/>
          <w:sz w:val="20"/>
          <w:szCs w:val="20"/>
        </w:rPr>
      </w:pPr>
      <w:r w:rsidRPr="00347D5C">
        <w:rPr>
          <w:i/>
          <w:iCs/>
          <w:sz w:val="20"/>
          <w:szCs w:val="20"/>
        </w:rPr>
        <w:t xml:space="preserve">2d. </w:t>
      </w:r>
      <w:r w:rsidRPr="00347D5C">
        <w:rPr>
          <w:i/>
          <w:iCs/>
          <w:sz w:val="20"/>
          <w:szCs w:val="20"/>
        </w:rPr>
        <w:t>2065</w:t>
      </w:r>
    </w:p>
    <w:p w14:paraId="520C4871" w14:textId="63B84B5D" w:rsidR="0085576B" w:rsidRPr="00347D5C" w:rsidRDefault="0085576B" w:rsidP="00347D5C">
      <w:pPr>
        <w:ind w:left="360"/>
        <w:rPr>
          <w:i/>
          <w:iCs/>
          <w:sz w:val="20"/>
          <w:szCs w:val="20"/>
        </w:rPr>
      </w:pPr>
      <w:r w:rsidRPr="00347D5C">
        <w:rPr>
          <w:i/>
          <w:iCs/>
          <w:sz w:val="20"/>
          <w:szCs w:val="20"/>
        </w:rPr>
        <w:t>3a. No</w:t>
      </w:r>
    </w:p>
    <w:p w14:paraId="452C92E1" w14:textId="77777777" w:rsidR="00347D5C" w:rsidRDefault="0085576B" w:rsidP="00347D5C">
      <w:pPr>
        <w:ind w:left="360"/>
        <w:rPr>
          <w:i/>
          <w:iCs/>
          <w:sz w:val="20"/>
          <w:szCs w:val="20"/>
        </w:rPr>
      </w:pPr>
      <w:r w:rsidRPr="00347D5C">
        <w:rPr>
          <w:i/>
          <w:iCs/>
          <w:sz w:val="20"/>
          <w:szCs w:val="20"/>
        </w:rPr>
        <w:t xml:space="preserve">3b. </w:t>
      </w:r>
      <w:r w:rsidRPr="00347D5C">
        <w:rPr>
          <w:i/>
          <w:iCs/>
          <w:sz w:val="20"/>
          <w:szCs w:val="20"/>
        </w:rPr>
        <w:t xml:space="preserve">See </w:t>
      </w:r>
      <w:hyperlink r:id="rId7" w:history="1">
        <w:r w:rsidRPr="00347D5C">
          <w:rPr>
            <w:rStyle w:val="Hyperlink"/>
            <w:i/>
            <w:iCs/>
            <w:sz w:val="20"/>
            <w:szCs w:val="20"/>
          </w:rPr>
          <w:t>analysis and definition</w:t>
        </w:r>
      </w:hyperlink>
      <w:r w:rsidRPr="00347D5C">
        <w:rPr>
          <w:i/>
          <w:iCs/>
          <w:sz w:val="20"/>
          <w:szCs w:val="20"/>
        </w:rPr>
        <w:t>.</w:t>
      </w:r>
    </w:p>
    <w:p w14:paraId="1B5A739D" w14:textId="61CE5F58" w:rsidR="0085576B" w:rsidRPr="00347D5C" w:rsidRDefault="0085576B" w:rsidP="00347D5C">
      <w:pPr>
        <w:ind w:left="360"/>
        <w:rPr>
          <w:i/>
          <w:iCs/>
          <w:sz w:val="20"/>
          <w:szCs w:val="20"/>
        </w:rPr>
      </w:pPr>
      <w:bookmarkStart w:id="1" w:name="_GoBack"/>
      <w:bookmarkEnd w:id="1"/>
      <w:r w:rsidRPr="00347D5C">
        <w:rPr>
          <w:i/>
          <w:iCs/>
          <w:sz w:val="20"/>
          <w:szCs w:val="20"/>
        </w:rPr>
        <w:t>3c. See</w:t>
      </w:r>
    </w:p>
    <w:p w14:paraId="0C3FA6C6" w14:textId="7E76DBE1" w:rsidR="0085576B" w:rsidRPr="00347D5C" w:rsidRDefault="0085576B" w:rsidP="00347D5C">
      <w:pPr>
        <w:ind w:left="360"/>
        <w:rPr>
          <w:i/>
          <w:iCs/>
          <w:sz w:val="20"/>
          <w:szCs w:val="20"/>
        </w:rPr>
      </w:pPr>
      <w:r w:rsidRPr="00347D5C">
        <w:rPr>
          <w:i/>
          <w:iCs/>
          <w:sz w:val="20"/>
          <w:szCs w:val="20"/>
        </w:rPr>
        <w:t xml:space="preserve">3d. </w:t>
      </w:r>
      <w:r w:rsidRPr="00347D5C">
        <w:rPr>
          <w:i/>
          <w:iCs/>
          <w:sz w:val="20"/>
          <w:szCs w:val="20"/>
        </w:rPr>
        <w:t>There is none.</w:t>
      </w:r>
    </w:p>
    <w:p w14:paraId="3E6C45F2" w14:textId="739F5755" w:rsidR="0085576B" w:rsidRPr="00347D5C" w:rsidRDefault="0085576B" w:rsidP="00347D5C">
      <w:pPr>
        <w:ind w:left="360"/>
        <w:rPr>
          <w:i/>
          <w:iCs/>
          <w:sz w:val="20"/>
          <w:szCs w:val="20"/>
        </w:rPr>
      </w:pPr>
      <w:r w:rsidRPr="00347D5C">
        <w:rPr>
          <w:i/>
          <w:iCs/>
          <w:sz w:val="20"/>
          <w:szCs w:val="20"/>
        </w:rPr>
        <w:t xml:space="preserve">4a. </w:t>
      </w:r>
      <w:r w:rsidRPr="00347D5C">
        <w:rPr>
          <w:i/>
          <w:iCs/>
          <w:sz w:val="20"/>
          <w:szCs w:val="20"/>
        </w:rPr>
        <w:t>$1B</w:t>
      </w:r>
    </w:p>
    <w:p w14:paraId="161F19CC" w14:textId="4F721929" w:rsidR="0085576B" w:rsidRPr="00347D5C" w:rsidRDefault="0085576B" w:rsidP="00347D5C">
      <w:pPr>
        <w:pStyle w:val="ListParagraph"/>
        <w:ind w:left="360"/>
        <w:rPr>
          <w:i/>
          <w:iCs/>
          <w:sz w:val="20"/>
          <w:szCs w:val="20"/>
        </w:rPr>
      </w:pPr>
      <w:r w:rsidRPr="00347D5C">
        <w:rPr>
          <w:i/>
          <w:iCs/>
          <w:sz w:val="20"/>
          <w:szCs w:val="20"/>
        </w:rPr>
        <w:t>4b. See proposal</w:t>
      </w:r>
    </w:p>
    <w:p w14:paraId="1EFC4FAB" w14:textId="5CA3BBC8" w:rsidR="0085576B" w:rsidRPr="00347D5C" w:rsidRDefault="0085576B" w:rsidP="00347D5C">
      <w:pPr>
        <w:pStyle w:val="ListParagraph"/>
        <w:ind w:left="360"/>
        <w:rPr>
          <w:i/>
          <w:iCs/>
          <w:sz w:val="20"/>
          <w:szCs w:val="20"/>
        </w:rPr>
      </w:pPr>
      <w:r w:rsidRPr="00347D5C">
        <w:rPr>
          <w:i/>
          <w:iCs/>
          <w:sz w:val="20"/>
          <w:szCs w:val="20"/>
        </w:rPr>
        <w:t>4c. Yes</w:t>
      </w:r>
    </w:p>
    <w:p w14:paraId="723463AC" w14:textId="5E978A7D" w:rsidR="0085576B" w:rsidRDefault="0085576B" w:rsidP="0085576B">
      <w:pPr>
        <w:pStyle w:val="ListParagraph"/>
        <w:ind w:left="1440"/>
      </w:pPr>
    </w:p>
    <w:sectPr w:rsidR="0085576B" w:rsidSect="00135A21">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287"/>
    <w:multiLevelType w:val="hybridMultilevel"/>
    <w:tmpl w:val="C9FEC0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796BBE"/>
    <w:multiLevelType w:val="multilevel"/>
    <w:tmpl w:val="F21CD9E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 w15:restartNumberingAfterBreak="0">
    <w:nsid w:val="0F7E1938"/>
    <w:multiLevelType w:val="multilevel"/>
    <w:tmpl w:val="70FA9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61BBD"/>
    <w:multiLevelType w:val="multilevel"/>
    <w:tmpl w:val="9C04B76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8E94CEF"/>
    <w:multiLevelType w:val="hybridMultilevel"/>
    <w:tmpl w:val="846CA678"/>
    <w:lvl w:ilvl="0" w:tplc="F0BE44B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572E49"/>
    <w:multiLevelType w:val="multilevel"/>
    <w:tmpl w:val="F21CD9E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 w15:restartNumberingAfterBreak="0">
    <w:nsid w:val="1A9D4152"/>
    <w:multiLevelType w:val="hybridMultilevel"/>
    <w:tmpl w:val="DA9E84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1F250B"/>
    <w:multiLevelType w:val="multilevel"/>
    <w:tmpl w:val="B0BE2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6A0CB2"/>
    <w:multiLevelType w:val="multilevel"/>
    <w:tmpl w:val="9C04B76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3F99083B"/>
    <w:multiLevelType w:val="multilevel"/>
    <w:tmpl w:val="EE7C924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C92B4D"/>
    <w:multiLevelType w:val="hybridMultilevel"/>
    <w:tmpl w:val="7E9452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2FB2A51"/>
    <w:multiLevelType w:val="hybridMultilevel"/>
    <w:tmpl w:val="28825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354E1F"/>
    <w:multiLevelType w:val="hybridMultilevel"/>
    <w:tmpl w:val="80B4DD2C"/>
    <w:lvl w:ilvl="0" w:tplc="F0BE44B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5B47E4"/>
    <w:multiLevelType w:val="hybridMultilevel"/>
    <w:tmpl w:val="6878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F350F"/>
    <w:multiLevelType w:val="hybridMultilevel"/>
    <w:tmpl w:val="9C04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FF453A"/>
    <w:multiLevelType w:val="hybridMultilevel"/>
    <w:tmpl w:val="008A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E3A71"/>
    <w:multiLevelType w:val="hybridMultilevel"/>
    <w:tmpl w:val="6ACEE84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90340E8"/>
    <w:multiLevelType w:val="hybridMultilevel"/>
    <w:tmpl w:val="DA9E84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9824E28"/>
    <w:multiLevelType w:val="hybridMultilevel"/>
    <w:tmpl w:val="715444DA"/>
    <w:lvl w:ilvl="0" w:tplc="F0BE4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5318CC"/>
    <w:multiLevelType w:val="multilevel"/>
    <w:tmpl w:val="F45297A6"/>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D0B58C0"/>
    <w:multiLevelType w:val="multilevel"/>
    <w:tmpl w:val="7DFE0946"/>
    <w:lvl w:ilvl="0">
      <w:start w:val="1"/>
      <w:numFmt w:val="decimal"/>
      <w:pStyle w:val="Heading1"/>
      <w:lvlText w:val="%1"/>
      <w:lvlJc w:val="left"/>
      <w:pPr>
        <w:ind w:left="432" w:hanging="432"/>
      </w:pPr>
    </w:lvl>
    <w:lvl w:ilvl="1">
      <w:start w:val="1"/>
      <w:numFmt w:val="decimal"/>
      <w:pStyle w:val="Heading2"/>
      <w:lvlText w:val="%1.%2"/>
      <w:lvlJc w:val="left"/>
      <w:pPr>
        <w:ind w:left="30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D2E3124"/>
    <w:multiLevelType w:val="hybridMultilevel"/>
    <w:tmpl w:val="FAD451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0"/>
  </w:num>
  <w:num w:numId="3">
    <w:abstractNumId w:val="20"/>
  </w:num>
  <w:num w:numId="4">
    <w:abstractNumId w:val="20"/>
  </w:num>
  <w:num w:numId="5">
    <w:abstractNumId w:val="20"/>
  </w:num>
  <w:num w:numId="6">
    <w:abstractNumId w:val="19"/>
  </w:num>
  <w:num w:numId="7">
    <w:abstractNumId w:val="2"/>
  </w:num>
  <w:num w:numId="8">
    <w:abstractNumId w:val="9"/>
  </w:num>
  <w:num w:numId="9">
    <w:abstractNumId w:val="7"/>
  </w:num>
  <w:num w:numId="10">
    <w:abstractNumId w:val="21"/>
  </w:num>
  <w:num w:numId="11">
    <w:abstractNumId w:val="18"/>
  </w:num>
  <w:num w:numId="12">
    <w:abstractNumId w:val="12"/>
  </w:num>
  <w:num w:numId="13">
    <w:abstractNumId w:val="4"/>
  </w:num>
  <w:num w:numId="14">
    <w:abstractNumId w:val="16"/>
  </w:num>
  <w:num w:numId="15">
    <w:abstractNumId w:val="14"/>
  </w:num>
  <w:num w:numId="16">
    <w:abstractNumId w:val="3"/>
  </w:num>
  <w:num w:numId="17">
    <w:abstractNumId w:val="10"/>
  </w:num>
  <w:num w:numId="18">
    <w:abstractNumId w:val="11"/>
  </w:num>
  <w:num w:numId="19">
    <w:abstractNumId w:val="0"/>
  </w:num>
  <w:num w:numId="20">
    <w:abstractNumId w:val="8"/>
  </w:num>
  <w:num w:numId="21">
    <w:abstractNumId w:val="1"/>
  </w:num>
  <w:num w:numId="22">
    <w:abstractNumId w:val="5"/>
  </w:num>
  <w:num w:numId="23">
    <w:abstractNumId w:val="15"/>
  </w:num>
  <w:num w:numId="24">
    <w:abstractNumId w:val="6"/>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F0"/>
    <w:rsid w:val="000227F9"/>
    <w:rsid w:val="00135A21"/>
    <w:rsid w:val="00154C35"/>
    <w:rsid w:val="00183D43"/>
    <w:rsid w:val="00266C6E"/>
    <w:rsid w:val="00347D5C"/>
    <w:rsid w:val="003528E9"/>
    <w:rsid w:val="003A3726"/>
    <w:rsid w:val="004413E1"/>
    <w:rsid w:val="00472DA5"/>
    <w:rsid w:val="00486F45"/>
    <w:rsid w:val="00552627"/>
    <w:rsid w:val="005B26B8"/>
    <w:rsid w:val="00636AEE"/>
    <w:rsid w:val="006F04EC"/>
    <w:rsid w:val="00747FC5"/>
    <w:rsid w:val="007F707C"/>
    <w:rsid w:val="0085576B"/>
    <w:rsid w:val="00884550"/>
    <w:rsid w:val="009D09E2"/>
    <w:rsid w:val="00A21379"/>
    <w:rsid w:val="00A348A4"/>
    <w:rsid w:val="00A47771"/>
    <w:rsid w:val="00B111A1"/>
    <w:rsid w:val="00B27700"/>
    <w:rsid w:val="00BB5AFA"/>
    <w:rsid w:val="00BC6430"/>
    <w:rsid w:val="00CD2EF0"/>
    <w:rsid w:val="00D06C01"/>
    <w:rsid w:val="00D9109B"/>
    <w:rsid w:val="00E07807"/>
    <w:rsid w:val="00F51B5C"/>
    <w:rsid w:val="00FC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579B"/>
  <w15:chartTrackingRefBased/>
  <w15:docId w15:val="{BF1CD662-50B5-4BC0-86A9-A12A5FAA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8A4"/>
    <w:rPr>
      <w:rFonts w:ascii="Times New Roman" w:hAnsi="Times New Roman" w:cs="Times New Roman"/>
      <w:sz w:val="24"/>
    </w:rPr>
  </w:style>
  <w:style w:type="paragraph" w:styleId="Heading1">
    <w:name w:val="heading 1"/>
    <w:basedOn w:val="Normal"/>
    <w:next w:val="Normal"/>
    <w:link w:val="Heading1Char"/>
    <w:uiPriority w:val="9"/>
    <w:qFormat/>
    <w:rsid w:val="00A348A4"/>
    <w:pPr>
      <w:keepNext/>
      <w:numPr>
        <w:numId w:val="5"/>
      </w:numPr>
      <w:outlineLvl w:val="0"/>
    </w:pPr>
    <w:rPr>
      <w:rFonts w:eastAsia="Times New Roman"/>
      <w:b/>
      <w:bCs/>
      <w:kern w:val="32"/>
      <w:szCs w:val="32"/>
      <w:lang w:val="x-none" w:eastAsia="x-none"/>
    </w:rPr>
  </w:style>
  <w:style w:type="paragraph" w:styleId="Heading2">
    <w:name w:val="heading 2"/>
    <w:basedOn w:val="Normal"/>
    <w:next w:val="Normal"/>
    <w:link w:val="Heading2Char"/>
    <w:uiPriority w:val="9"/>
    <w:unhideWhenUsed/>
    <w:qFormat/>
    <w:rsid w:val="00A348A4"/>
    <w:pPr>
      <w:keepNext/>
      <w:numPr>
        <w:ilvl w:val="1"/>
        <w:numId w:val="5"/>
      </w:numPr>
      <w:outlineLvl w:val="1"/>
    </w:pPr>
    <w:rPr>
      <w:rFonts w:eastAsia="Times New Roman"/>
      <w:b/>
      <w:bCs/>
      <w:iCs/>
      <w:szCs w:val="28"/>
      <w:lang w:val="x-none" w:eastAsia="x-none"/>
    </w:rPr>
  </w:style>
  <w:style w:type="paragraph" w:styleId="Heading3">
    <w:name w:val="heading 3"/>
    <w:basedOn w:val="Normal"/>
    <w:next w:val="Normal"/>
    <w:link w:val="Heading3Char"/>
    <w:uiPriority w:val="9"/>
    <w:unhideWhenUsed/>
    <w:qFormat/>
    <w:rsid w:val="00A348A4"/>
    <w:pPr>
      <w:keepNext/>
      <w:numPr>
        <w:ilvl w:val="2"/>
        <w:numId w:val="6"/>
      </w:numPr>
      <w:ind w:left="72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00"/>
    <w:pPr>
      <w:ind w:left="720"/>
      <w:contextualSpacing/>
    </w:pPr>
  </w:style>
  <w:style w:type="character" w:customStyle="1" w:styleId="Heading1Char">
    <w:name w:val="Heading 1 Char"/>
    <w:link w:val="Heading1"/>
    <w:uiPriority w:val="9"/>
    <w:rsid w:val="00A348A4"/>
    <w:rPr>
      <w:rFonts w:ascii="Times New Roman" w:eastAsia="Times New Roman" w:hAnsi="Times New Roman"/>
      <w:b/>
      <w:bCs/>
      <w:kern w:val="32"/>
      <w:sz w:val="24"/>
      <w:szCs w:val="32"/>
      <w:lang w:val="x-none" w:eastAsia="x-none"/>
    </w:rPr>
  </w:style>
  <w:style w:type="character" w:customStyle="1" w:styleId="Heading2Char">
    <w:name w:val="Heading 2 Char"/>
    <w:link w:val="Heading2"/>
    <w:uiPriority w:val="9"/>
    <w:rsid w:val="00A348A4"/>
    <w:rPr>
      <w:rFonts w:ascii="Times New Roman" w:eastAsia="Times New Roman" w:hAnsi="Times New Roman"/>
      <w:b/>
      <w:bCs/>
      <w:iCs/>
      <w:sz w:val="24"/>
      <w:szCs w:val="28"/>
      <w:lang w:val="x-none" w:eastAsia="x-none"/>
    </w:rPr>
  </w:style>
  <w:style w:type="character" w:customStyle="1" w:styleId="Heading3Char">
    <w:name w:val="Heading 3 Char"/>
    <w:link w:val="Heading3"/>
    <w:uiPriority w:val="9"/>
    <w:rsid w:val="00A348A4"/>
    <w:rPr>
      <w:rFonts w:ascii="Times New Roman" w:eastAsia="Times New Roman" w:hAnsi="Times New Roman"/>
      <w:b/>
      <w:bCs/>
      <w:sz w:val="24"/>
      <w:szCs w:val="26"/>
    </w:rPr>
  </w:style>
  <w:style w:type="paragraph" w:customStyle="1" w:styleId="Style1">
    <w:name w:val="Style1"/>
    <w:basedOn w:val="Heading2"/>
    <w:link w:val="Style1Char"/>
    <w:qFormat/>
    <w:rsid w:val="00A348A4"/>
    <w:pPr>
      <w:numPr>
        <w:numId w:val="6"/>
      </w:numPr>
      <w:ind w:left="576"/>
    </w:pPr>
    <w:rPr>
      <w:bCs w:val="0"/>
      <w:iCs w:val="0"/>
      <w:szCs w:val="24"/>
    </w:rPr>
  </w:style>
  <w:style w:type="character" w:customStyle="1" w:styleId="Style1Char">
    <w:name w:val="Style1 Char"/>
    <w:basedOn w:val="Heading2Char"/>
    <w:link w:val="Style1"/>
    <w:rsid w:val="00A348A4"/>
    <w:rPr>
      <w:rFonts w:ascii="Times New Roman" w:eastAsia="Times New Roman" w:hAnsi="Times New Roman" w:cs="Times New Roman"/>
      <w:b/>
      <w:bCs w:val="0"/>
      <w:iCs w:val="0"/>
      <w:sz w:val="24"/>
      <w:szCs w:val="24"/>
      <w:lang w:val="x-none" w:eastAsia="x-none"/>
    </w:rPr>
  </w:style>
  <w:style w:type="paragraph" w:customStyle="1" w:styleId="Style2">
    <w:name w:val="Style2"/>
    <w:basedOn w:val="Style1"/>
    <w:link w:val="Style2Char"/>
    <w:qFormat/>
    <w:rsid w:val="00A348A4"/>
    <w:rPr>
      <w:b w:val="0"/>
    </w:rPr>
  </w:style>
  <w:style w:type="character" w:customStyle="1" w:styleId="Style2Char">
    <w:name w:val="Style2 Char"/>
    <w:basedOn w:val="Style1Char"/>
    <w:link w:val="Style2"/>
    <w:rsid w:val="00A348A4"/>
    <w:rPr>
      <w:rFonts w:ascii="Times New Roman" w:eastAsia="Times New Roman" w:hAnsi="Times New Roman" w:cs="Times New Roman"/>
      <w:b w:val="0"/>
      <w:bCs w:val="0"/>
      <w:iCs w:val="0"/>
      <w:sz w:val="24"/>
      <w:szCs w:val="24"/>
      <w:lang w:val="x-none" w:eastAsia="x-none"/>
    </w:rPr>
  </w:style>
  <w:style w:type="paragraph" w:styleId="BalloonText">
    <w:name w:val="Balloon Text"/>
    <w:basedOn w:val="Normal"/>
    <w:link w:val="BalloonTextChar"/>
    <w:uiPriority w:val="99"/>
    <w:semiHidden/>
    <w:unhideWhenUsed/>
    <w:rsid w:val="00F51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B5C"/>
    <w:rPr>
      <w:rFonts w:ascii="Segoe UI" w:hAnsi="Segoe UI" w:cs="Segoe UI"/>
      <w:sz w:val="18"/>
      <w:szCs w:val="18"/>
    </w:rPr>
  </w:style>
  <w:style w:type="character" w:styleId="Hyperlink">
    <w:name w:val="Hyperlink"/>
    <w:basedOn w:val="DefaultParagraphFont"/>
    <w:uiPriority w:val="99"/>
    <w:unhideWhenUsed/>
    <w:rsid w:val="00F51B5C"/>
    <w:rPr>
      <w:color w:val="0563C1" w:themeColor="hyperlink"/>
      <w:u w:val="single"/>
    </w:rPr>
  </w:style>
  <w:style w:type="character" w:styleId="UnresolvedMention">
    <w:name w:val="Unresolved Mention"/>
    <w:basedOn w:val="DefaultParagraphFont"/>
    <w:uiPriority w:val="99"/>
    <w:semiHidden/>
    <w:unhideWhenUsed/>
    <w:rsid w:val="00F51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724443">
      <w:bodyDiv w:val="1"/>
      <w:marLeft w:val="0"/>
      <w:marRight w:val="0"/>
      <w:marTop w:val="0"/>
      <w:marBottom w:val="0"/>
      <w:divBdr>
        <w:top w:val="none" w:sz="0" w:space="0" w:color="auto"/>
        <w:left w:val="none" w:sz="0" w:space="0" w:color="auto"/>
        <w:bottom w:val="none" w:sz="0" w:space="0" w:color="auto"/>
        <w:right w:val="none" w:sz="0" w:space="0" w:color="auto"/>
      </w:divBdr>
      <w:divsChild>
        <w:div w:id="549389473">
          <w:marLeft w:val="0"/>
          <w:marRight w:val="0"/>
          <w:marTop w:val="0"/>
          <w:marBottom w:val="0"/>
          <w:divBdr>
            <w:top w:val="none" w:sz="0" w:space="0" w:color="auto"/>
            <w:left w:val="none" w:sz="0" w:space="0" w:color="auto"/>
            <w:bottom w:val="none" w:sz="0" w:space="0" w:color="auto"/>
            <w:right w:val="none" w:sz="0" w:space="0" w:color="auto"/>
          </w:divBdr>
        </w:div>
        <w:div w:id="550851350">
          <w:marLeft w:val="0"/>
          <w:marRight w:val="0"/>
          <w:marTop w:val="0"/>
          <w:marBottom w:val="0"/>
          <w:divBdr>
            <w:top w:val="none" w:sz="0" w:space="0" w:color="auto"/>
            <w:left w:val="none" w:sz="0" w:space="0" w:color="auto"/>
            <w:bottom w:val="none" w:sz="0" w:space="0" w:color="auto"/>
            <w:right w:val="none" w:sz="0" w:space="0" w:color="auto"/>
          </w:divBdr>
        </w:div>
        <w:div w:id="167911386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402601166">
              <w:marLeft w:val="0"/>
              <w:marRight w:val="0"/>
              <w:marTop w:val="0"/>
              <w:marBottom w:val="0"/>
              <w:divBdr>
                <w:top w:val="none" w:sz="0" w:space="0" w:color="auto"/>
                <w:left w:val="none" w:sz="0" w:space="0" w:color="auto"/>
                <w:bottom w:val="none" w:sz="0" w:space="0" w:color="auto"/>
                <w:right w:val="none" w:sz="0" w:space="0" w:color="auto"/>
              </w:divBdr>
            </w:div>
          </w:divsChild>
        </w:div>
        <w:div w:id="1981415958">
          <w:marLeft w:val="0"/>
          <w:marRight w:val="0"/>
          <w:marTop w:val="0"/>
          <w:marBottom w:val="0"/>
          <w:divBdr>
            <w:top w:val="none" w:sz="0" w:space="0" w:color="auto"/>
            <w:left w:val="none" w:sz="0" w:space="0" w:color="auto"/>
            <w:bottom w:val="none" w:sz="0" w:space="0" w:color="auto"/>
            <w:right w:val="none" w:sz="0" w:space="0" w:color="auto"/>
          </w:divBdr>
        </w:div>
      </w:divsChild>
    </w:div>
    <w:div w:id="737216157">
      <w:bodyDiv w:val="1"/>
      <w:marLeft w:val="0"/>
      <w:marRight w:val="0"/>
      <w:marTop w:val="0"/>
      <w:marBottom w:val="0"/>
      <w:divBdr>
        <w:top w:val="none" w:sz="0" w:space="0" w:color="auto"/>
        <w:left w:val="none" w:sz="0" w:space="0" w:color="auto"/>
        <w:bottom w:val="none" w:sz="0" w:space="0" w:color="auto"/>
        <w:right w:val="none" w:sz="0" w:space="0" w:color="auto"/>
      </w:divBdr>
      <w:divsChild>
        <w:div w:id="40521345">
          <w:marLeft w:val="0"/>
          <w:marRight w:val="0"/>
          <w:marTop w:val="0"/>
          <w:marBottom w:val="0"/>
          <w:divBdr>
            <w:top w:val="none" w:sz="0" w:space="0" w:color="auto"/>
            <w:left w:val="none" w:sz="0" w:space="0" w:color="auto"/>
            <w:bottom w:val="none" w:sz="0" w:space="0" w:color="auto"/>
            <w:right w:val="none" w:sz="0" w:space="0" w:color="auto"/>
          </w:divBdr>
        </w:div>
        <w:div w:id="1194728314">
          <w:marLeft w:val="0"/>
          <w:marRight w:val="0"/>
          <w:marTop w:val="0"/>
          <w:marBottom w:val="0"/>
          <w:divBdr>
            <w:top w:val="none" w:sz="0" w:space="0" w:color="auto"/>
            <w:left w:val="none" w:sz="0" w:space="0" w:color="auto"/>
            <w:bottom w:val="none" w:sz="0" w:space="0" w:color="auto"/>
            <w:right w:val="none" w:sz="0" w:space="0" w:color="auto"/>
          </w:divBdr>
        </w:div>
        <w:div w:id="104093864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84792392">
              <w:marLeft w:val="0"/>
              <w:marRight w:val="0"/>
              <w:marTop w:val="0"/>
              <w:marBottom w:val="0"/>
              <w:divBdr>
                <w:top w:val="none" w:sz="0" w:space="0" w:color="auto"/>
                <w:left w:val="none" w:sz="0" w:space="0" w:color="auto"/>
                <w:bottom w:val="none" w:sz="0" w:space="0" w:color="auto"/>
                <w:right w:val="none" w:sz="0" w:space="0" w:color="auto"/>
              </w:divBdr>
            </w:div>
          </w:divsChild>
        </w:div>
        <w:div w:id="132312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nserveswu.org/comparisons-of-various-utah-water-conservation-plans-to-standard-plan-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utah.gov/xcode/Title73/Chapter10/C73-10-S32_180001011800010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79C49-BC7C-4D71-9E82-E7A4DD4D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2212</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Butine</dc:creator>
  <cp:keywords/>
  <dc:description/>
  <cp:lastModifiedBy>Tom Butine</cp:lastModifiedBy>
  <cp:revision>9</cp:revision>
  <dcterms:created xsi:type="dcterms:W3CDTF">2019-10-29T22:26:00Z</dcterms:created>
  <dcterms:modified xsi:type="dcterms:W3CDTF">2019-12-03T14:17:00Z</dcterms:modified>
</cp:coreProperties>
</file>